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JTAPI/1039/2024 vom 24. Oktober 2024</w:t>
      </w:r>
    </w:p>
    <w:p>
      <w:r>
        <w:t>GE Cour de justice, 2024-10-24, FR</w:t>
      </w:r>
    </w:p>
    <w:p>
      <w:r>
        <w:rPr>
          <w:b/>
        </w:rPr>
        <w:t xml:space="preserve">Quelle: </w:t>
      </w:r>
      <w:r>
        <w:t>https://mcp.opencaselaw.ch/entscheid/ge_gerichte_JTAPI_1039_2024</w:t>
      </w:r>
    </w:p>
    <w:p>
      <w:r>
        <w:t>FR: GE_GERICHTE JTAPI/1039/2024 du 24 octobre 2024</w:t>
      </w:r>
    </w:p>
    <w:p>
      <w:r>
        <w:t>IT: GE_GERICHTE JTAPI/1039/2024 del 24 ottobre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22 octobre 2024 à 17h00.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3.3</w:t>
      </w:r>
    </w:p>
    <w:p>
      <w:r>
        <w:t>; 2C_806/2010 du 21 octobre 2010 consid. 2.1 ; 2C_400/2009 du 16 juillet 2009 consid. 3.1).</w:t>
      </w:r>
    </w:p>
    <w:p>
      <w:r>
        <w:rPr>
          <w:b/>
        </w:rPr>
        <w:t>E. 4</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w:t>
      </w:r>
    </w:p>
    <w:p>
      <w:r>
        <w:t>- 6/9 - A/3498/2024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w:t>
      </w:r>
    </w:p>
    <w:p>
      <w:r>
        <w:t>- 7/9 - A/3498/2024 2015 consid. 5.3 ; 2C_334/2015 du 19 mai 2015 consid. 2.2 ; 2C_218/2013 du 26 mars 2013 consid. 5.1 et les références citées ; cf. aussi ATF 130 II 425 consid. 5.2).</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9</w:t>
      </w:r>
    </w:p>
    <w:p>
      <w:r>
        <w:t>En l’espèce, l’intéressé fait l’objet d’une décision de renvoi prononcée par l’OCPM le 26 octobre 2015, en force. Il fait également l’objet d’une expulsion judicaire prononcée par le Tribunal de police le 27 mai 2024, laquelle n’est toutefois pas en force. Il a été condamné à de très nombreuses reprises, notamment pour vol, recel et infractions graves à la LStup, lesquelles sont constitutives de crime au sens de l’art. 10 al. 2 CP. Il n’a jamais quitté la Suisse et donc jamais respecté les délais de départ impartis par l’OCPM suite au prononcé de la décision de renvoi en 2015, a été condamné plusieurs fois pour séjour illégal et n’a entrepris aucune démarche en vue de repartir en Algérie ou obtenir des documents lui permettant de voyager, ayant encore déclaré devant la police et lors de l’audience de ce jour qu’il refusait de retourner en Algérie et voulait rester auprès de ses enfants qui avaient besoin de lui. Même s’il a également déclaré à l’audience de ce jour être disposé à contacter l’ambassade d’Algérie, cette démarche apparait inutile si, ensuite, il n’entend pas quitter la Suisse. Son comportement permet dès lors de retenir qu’il n’est toujours pas enclin à quitter la Suisse et qu’il va continuer à refuser de se soumettre aux décisions des autorités. Concernant sa situation personnelle, il ne dispose pas d’adresse connue. Selon ses allégations, il aurait toujours vécu chez sa femme au 1______ G______ et ne se serait jamais séparé d’elle. Or, force est de constater qu’aucun élément du dossier ne permet d’étayer ces dires et que selon la base de données CALVIN il n’habite plus chez sa femme depuis le 24 février 2016 de qui il est judiciairement séparé depuis 2013. De plus, cette dernière a entamé une procédure en divorce début 2024, actuellement en cours, sans qu’aucun document produit dans la procédure n’atteste qu’elle aurait aujourd’hui été retirée (le dernière audience agendée remontant au 8 octobre dernier). Il n’a par ailleurs aucune source de revenu et sa femme vivrait de l’aide sociale. Il existe donc un risque avéré que, s’il était remis en liberté, il se soustrairait à son renvoi. Dans ces circonstances, aucune autre mesure moins incisive que la détention n’est envisageable pour garantir sa présence au moment où il devra monter à bord du vol sur lequel une place lui sera réservée pour procéder à son renvoi.</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t>- 8/9 - A/3498/2024</w:t>
      </w:r>
    </w:p>
    <w:p>
      <w:r>
        <w:rPr>
          <w:b/>
        </w:rPr>
        <w:t>E. 11</w:t>
      </w:r>
    </w:p>
    <w:p>
      <w:r>
        <w:t>En l’espèce, les autorités ont d’ores et déjà identifié l’intéressé et sont actuellement dans l’attente d’une date pour le counseling. Elles ont donc agi avec la diligence et la célérité requises.</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13</w:t>
      </w:r>
    </w:p>
    <w:p>
      <w:r>
        <w:t>En l’espèce, la durée de la détention de quatre mois prend en compte le temps nécessaire à l’organisation d’un counseling avec les autorités algériennes, qui ne pourra pas avoir lieu avant le mois de novembre 2024. Ensuite, il faudra attendre la délivrance d’un laissez-passer, ce qui peut prendre plusieurs semaines pour, enfin, pouvoir réserver une place sur un vol.</w:t>
      </w:r>
    </w:p>
    <w:p>
      <w:r>
        <w:rPr>
          <w:b/>
        </w:rPr>
        <w:t>E. 14</w:t>
      </w:r>
    </w:p>
    <w:p>
      <w:r>
        <w:t>Au vu de ce qui précède, il y a lieu de confirmer l'ordre de mise en détention administrative de M. A______ pour une durée de quatre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A/3498/2024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