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JTAPI/1032/2023 vom 26. September 2023</w:t>
      </w:r>
    </w:p>
    <w:p>
      <w:r>
        <w:t>GE Cour de justice, 2023-09-26, FR</w:t>
      </w:r>
    </w:p>
    <w:p>
      <w:r>
        <w:rPr>
          <w:b/>
        </w:rPr>
        <w:t xml:space="preserve">Quelle: </w:t>
      </w:r>
      <w:r>
        <w:t>https://mcp.opencaselaw.ch/entscheid/ge_gerichte_JTAPI_1032_2023</w:t>
      </w:r>
    </w:p>
    <w:p>
      <w:r>
        <w:t>FR: GE_GERICHTE JTAPI/1032/2023 du 26 septembre 2023</w:t>
      </w:r>
    </w:p>
    <w:p>
      <w:r>
        <w:t>IT: GE_GERICHTE JTAPI/1032/2023 del 26 settembre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- 8/18 - A/1681/2023</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6</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Chili.</w:t>
      </w:r>
    </w:p>
    <w:p>
      <w:r>
        <w:rPr>
          <w:b/>
        </w:rPr>
        <w:t>E. 8</w:t>
      </w:r>
    </w:p>
    <w:p>
      <w:r>
        <w:t>Les conditions d’entrée d’un étranger en Suisse sont régies par les art. 5 ss LEI.</w:t>
      </w:r>
    </w:p>
    <w:p>
      <w:r>
        <w:rPr>
          <w:b/>
        </w:rPr>
        <w:t>E. 9</w:t>
      </w:r>
    </w:p>
    <w:p>
      <w:r>
        <w:t>Les dérogations aux prescriptions générales d’admission (art. 18 à 29 LEI) sont énoncées de manière exhaustive à l’art. 30 al. 1 LEI ; il est notamment possible de déroger aux conditions d’admission dans le but de tenir compte des cas</w:t>
      </w:r>
    </w:p>
    <w:p>
      <w:r>
        <w:t>- 9/18 - A/1681/2023 individuels d’extrême gravité ou d’intérêts publics majeurs (let. b). En vertu de l’art. 30 al. 2 LEI, le Conseil fédéral en a fixé les conditions et la procédure dans l’OASA.</w:t>
      </w:r>
    </w:p>
    <w:p>
      <w:r>
        <w:rPr>
          <w:b/>
        </w:rPr>
        <w:t>E. 10</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11</w:t>
      </w:r>
    </w:p>
    <w:p>
      <w:r>
        <w:t>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12</w:t>
      </w:r>
    </w:p>
    <w:p>
      <w:r>
        <w:t>Ces critères, qui doivent impérativement être respectés, ne sont toutefois pas exhaustifs (cf. ATF 137 II 345 consid. 3.2.3 ; arrêt du Tribunal administratif fédéral F-3986/2015 du 22 mai 2017 consid. 9.3), d’autres éléments pouvant également entrer en considération, comme les circonstances concrètes ayant amené un étranger à séjourner illégalement en Suisse (cf. ATA/545/2022 du 24 mai 2022 consid. 3e).</w:t>
      </w:r>
    </w:p>
    <w:p>
      <w:r>
        <w:rPr>
          <w:b/>
        </w:rPr>
        <w:t>E. 13</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ATA/121/2021 du 2 février 2021 consid. 7c ; cf. aussi arrêt du Tribunal fédéral 2C_602/2019 du 25 juin 2019 consid. 3.3).</w:t>
      </w:r>
    </w:p>
    <w:p>
      <w:r>
        <w:rPr>
          <w:b/>
        </w:rPr>
        <w:t>E. 14</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w:t>
      </w:r>
    </w:p>
    <w:p>
      <w:r>
        <w:t>- 10/18 - A/1681/2023</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ATA/1130/2017 du 2 août 2017 consid. 5b).</w:t>
      </w:r>
    </w:p>
    <w:p>
      <w:r>
        <w:t>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15</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F-4145/2017 du 10 octobre 2018 consid. 5.1 et les références citées). Par durée assez longue, la jurisprudence entend une période de sept à huit ans (arrêt du Tribunal administratif fédéral C- 7330/2010 du 19 mars 2012 ; ATA/1538/2017 du 28 novembre 2017).</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w:t>
      </w:r>
    </w:p>
    <w:p>
      <w:r>
        <w:t>- 11/18 - A/1681/2023</w:t>
      </w:r>
    </w:p>
    <w:p>
      <w:r>
        <w:rPr>
          <w:b/>
        </w:rPr>
        <w:t>E. 16</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17</w:t>
      </w:r>
    </w:p>
    <w:p>
      <w:r>
        <w:t>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w:t>
      </w:r>
    </w:p>
    <w:p>
      <w:r>
        <w:rPr>
          <w:b/>
        </w:rPr>
        <w:t>E. 18</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w:t>
      </w:r>
    </w:p>
    <w:p>
      <w:r>
        <w:t>Une grave maladie (à supposer qu'elle ne puisse être soignée dans le pays d'origine) ne saurait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w:t>
      </w:r>
    </w:p>
    <w:p>
      <w:r>
        <w:t>- 12/18 - A/1681/2023 renvoi au sens de l'art. 83 al. 4 LEI et 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w:t>
      </w:r>
    </w:p>
    <w:p>
      <w:r>
        <w:t>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w:t>
      </w:r>
    </w:p>
    <w:p>
      <w:r>
        <w:rPr>
          <w:b/>
        </w:rPr>
        <w:t>E. 19</w:t>
      </w:r>
    </w:p>
    <w:p>
      <w:r>
        <w:t>Dans le cadre de l'exercice de leur pouvoir d'appréciation, les autorités compétentes doivent tenir compte des intérêts publics, de la situation personnelle de l'étranger, ainsi que de son degré d'intégration (art. 96 al. 1 LEI).</w:t>
      </w:r>
    </w:p>
    <w:p>
      <w:r>
        <w:t>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20</w:t>
      </w:r>
    </w:p>
    <w:p>
      <w:r>
        <w:t>En l'espèce, s'agissant de la durée de son séjour, si le recourant déclare être arrivé en Suisse en 2003/2004 et y résider depuis de manière continue, force est de constater qu'aucun élément au dossier n'abonde en ce sens. En effet, aucune pièce ne permet d'attester de la présence du recourant entre 2003 et 2005, entre 2007 et 2008, en 2010 et de 2012 à 2014, étant précisé que depuis le dépôt de sa demande d'autorisation de séjour, le 27 février 2017, le séjour du recourant se poursuit au bénéfice d'une simple tolérance. Par ailleurs, à l'occasion de ses diverses auditions par les services de police, notamment celles en dates du 31 octobre 2009, du 24 août 2019 et du 11 mai 2021, le recourant a déclaré effectuer des allers-retours entre Genève et le Chili une à plusieurs fois par année afin de rendre visite à son père. C'est d'ailleurs ce qu'avait déclaré ce dernier lors de l'enquête domiciliaire de l'OCPM du 27 janvier 2010, précisant que le recourant était alors reparti pour le Chili. En outre, lors de son audition du 1er juillet 2015 par les services de police, le recourant a donné une adresse de résidence en France voisine, ce qui tend à démontrer qu'il ne séjournait pas en Suisse à cette époque. Au vu de ces éléments,</w:t>
      </w:r>
    </w:p>
    <w:p>
      <w:r>
        <w:t>- 13/18 - A/1681/2023 la durée de séjour du recourant sur le territoire suisse doit fortement être relativisée.</w:t>
      </w:r>
    </w:p>
    <w:p>
      <w:r>
        <w:t>Quoiqu'il en soit, nonobstant la durée de son séjour en Suisse, le recourant ne saurait se prévaloir d’une intégration socio-professionnelle qui justifierait à elle seule la poursuite de son séjour en Suisse, dans la mesure où il a de nombreuses dettes et actes de défaut de biens pour un montant de près de CHF 19'000.-, il émarge totalement financièrement à l'aide sociale depuis le 1er décembre 2021, est logé dans un appartement de l'Hospice général et n'exerce à ce jour aucune activité professionnelle, bien qu'il entende mettre à profit sa formation récente d'agent hospitalier pour exercer un emploi. En outre, il a été condamné à trois reprises par le Ministère public en raison d'infractions aux règles de la circulation routière en lien avec son addiction à l'alcool, cumulant un total de 370 jours- amende. De plus, rien ne démontre que le recourant aurait acquis des connaissances professionnelles ou des qualifications spécifiques telles qu'il ne pourrait plus les mettre en pratique au Chili.</w:t>
      </w:r>
    </w:p>
    <w:p>
      <w:r>
        <w:t>Il n'apparaît pas que sa réintégration au Chili serait fortement compromise ni qu’un départ de Suisse constituerait pour lui un véritable déracinement. En effet, il ne faut pas perdre de vue que le recourant est arrivé en Suisse, selon ses déclarations, en 2003/2004, à l'âge de 28 ans. Il a ainsi passé son enfance, son adolescence et le début de sa vie d'adulte dans son pays d'origine, de sorte qu'il en maîtrise manifestement les us et coutumes ainsi que la langue. Il pourra aussi notamment mettre à profit les connaissances et l’expérience acquises durant son séjour en Suisse. S’il se heurtera sans doute à quelques difficultés de réadaptation, il ne démontre pas que celles-ci seraient plus graves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qu'il n'a pas établi. À cet égard, il ressort des déclarations du recourant que sa mère, son beau-père ainsi qu'une de ses sœurs et ses enfants résident dans son pays d'origine, de sorte qu'il y conserve un tissu familial apte à lui fournir un soutien dans sa réintégration. Il faut aussi rappeler que celui qui place l'autorité devant le fait accompli doit s'attendre à ce que celle-ci se préoccupe davantage de rétablir une situation conforme au droit que d'éviter les inconvénients qui en découlent pour lui. Enfin, en l'absence de lien particulièrement fort avec la Suisse, comme le précise la jurisprudence susmentionnée, des problèmes de santé ne légitiment pas, à eux seuls, l'octroi d'une autorisation de séjour pour cas individuel d'extrême gravité. Cet aspect médical sera discuté ci-après, en lien avec la question de l'exigibilité du renvoi.</w:t>
      </w:r>
    </w:p>
    <w:p>
      <w:r>
        <w:t>- 14/18 - A/1681/2023</w:t>
      </w:r>
    </w:p>
    <w:p>
      <w:r>
        <w:t>Au vu de ces circonstances, l'appréciation que l'autorité intimée a faite de la situation du recourant sous l'angle des art. 30 al. 1 let. b LEI, 31 et 32 al. 1 let. d OASA ne prête pas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 (art. 61 al. 2 LPA ; cf. aussi ATF 140 I 201 consid. 6.1 et les références citées).</w:t>
      </w:r>
    </w:p>
    <w:p>
      <w:r>
        <w:rPr>
          <w:b/>
        </w:rPr>
        <w:t>E. 21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w:t>
      </w:r>
    </w:p>
    <w:p>
      <w:r>
        <w:rPr>
          <w:b/>
        </w:rPr>
        <w:t>E. 22</w:t>
      </w:r>
    </w:p>
    <w:p>
      <w:r>
        <w:t>Selon l'art. 83 al. 4 LEI, l'exécution du renvoi n'est pas raisonnablement exigible si elle met concrètement en danger l'étranger, par exemple en cas de guerre, de guerre civile, de violence généralisée ou de nécessité médicale.</w:t>
      </w:r>
    </w:p>
    <w:p>
      <w:r>
        <w:rPr>
          <w:b/>
        </w:rPr>
        <w:t>E. 23</w:t>
      </w:r>
    </w:p>
    <w:p>
      <w:r>
        <w:t>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TAF D-5367/2015 du 24 mars 2020 consid. 8; ATA/1004/2021 du</w:t>
      </w:r>
    </w:p>
    <w:p>
      <w:r>
        <w:rPr>
          <w:b/>
        </w:rPr>
        <w:t>E. 28</w:t>
      </w:r>
    </w:p>
    <w:p>
      <w:r>
        <w:t>septembre 2021 consid. 4a ; ATA/997/2020 du 6 octobre 2020 consid 6a ; ATA/490/2020 du 19 mai 2020 consid. 11d ; ATAF 2010/54 consid. 5.1 ; ATAF 2010/41 consid 8.3.6 ; arrêts du Tribunal administratif fédéral D-5367/2015 du 24 mars 2020 consid. 8 ; F-838/2017 du 27 mars 2018 consid. 4.3). 24.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arrêts du Tribunal administratif fédéral D-5131/2020 du 26 mai 2021 consid. 7.3.1 ; D-6799/2017 du</w:t>
      </w:r>
    </w:p>
    <w:p>
      <w:r>
        <w:t>- 15/18 - A/1681/2023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w:t>
      </w:r>
    </w:p>
    <w:p>
      <w:r>
        <w:rPr>
          <w:b/>
        </w:rPr>
        <w:t>E. 30</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31</w:t>
      </w:r>
    </w:p>
    <w:p>
      <w:r>
        <w:t>En vertu des art. 89 al. 2 et 111 al. 2 de la loi sur le Tribunal fédéral du 17 juin 2005 (LTF - RS 173.110), le présent jugement sera communiqué au secrétariat d'État aux migrations.</w:t>
      </w:r>
    </w:p>
    <w:p>
      <w:r>
        <w:t>- 18/18 - A/1681/2023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