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JTAPI/1030/2024 vom 21. Oktober 2024</w:t>
      </w:r>
    </w:p>
    <w:p>
      <w:r>
        <w:t>GE Cour de justice, 2024-10-21, FR</w:t>
      </w:r>
    </w:p>
    <w:p>
      <w:r>
        <w:rPr>
          <w:b/>
        </w:rPr>
        <w:t xml:space="preserve">Quelle: </w:t>
      </w:r>
      <w:r>
        <w:t>https://mcp.opencaselaw.ch/entscheid/ge_gerichte_JTAPI_1030_2024</w:t>
      </w:r>
    </w:p>
    <w:p>
      <w:r>
        <w:t>FR: GE_GERICHTE JTAPI/1030/2024 du 21 octobre 2024</w:t>
      </w:r>
    </w:p>
    <w:p>
      <w:r>
        <w:t>IT: GE_GERICHTE JTAPI/1030/2024 del 21 ottobre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(art. 61 al. 2 LPA).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 recourant conclut préalablement à sa comparution personnelle.</w:t>
      </w:r>
    </w:p>
    <w:p>
      <w:r>
        <w:rPr>
          <w:b/>
        </w:rPr>
        <w:t>E. 6</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w:t>
      </w:r>
    </w:p>
    <w:p>
      <w:r>
        <w:t>- 5/8 - A/1988/2024 le juge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Par ailleurs, le droit d'être entendu ne comprend pas celui d'être entendu oralement (cf. not. art. 41 in fine LPA ; ATF 140 I 68 consid. 9.6.1 ; 134 I 140 consid. 5.3 ; 130 II 425 consid. 2.1 ; arrêts du Tribunal fédéral 2C_668/2020 du 22 janvier 2021 consid. 3.3 ; 2C_339/2020 du 5 janvier 2021 consid. 4.2.2 ; ATA/672/2021 du 29 juin 2021 consid. 3b) ni celui d'obtenir l'audition de témoins (ATF 130 II 425 consid. 2.1 ; arrêts du Tribunal fédéral 2C_725/2019 du 12 septembre 2019 consid. 4.1 ; 2C_1004/2018 du 11 juin 2019 consid. 5.2.1 ; 2C_1125/2018 du 7 janvier 2019 consid. 5.1 ; ATA/672/2021 du 29 juin 2021 consid. 3b).</w:t>
      </w:r>
    </w:p>
    <w:p>
      <w:r>
        <w:rPr>
          <w:b/>
        </w:rPr>
        <w:t>E. 7</w:t>
      </w:r>
    </w:p>
    <w:p>
      <w:r>
        <w:t>En l’espèce, le recourant a pu développer son argumentation dans son recours et produire les pièces justificatives qu’il estimait utiles. Le tribunal considère ainsi disposer des éléments suffisants et nécessaires pour statuer immédiatement sur le litige. Cet acte d'instruction, en soi non obligatoire, ne se révélait pas nécessaire, il n’y sera pas donné suite.</w:t>
      </w:r>
    </w:p>
    <w:p>
      <w:r>
        <w:rPr>
          <w:b/>
        </w:rPr>
        <w:t>E. 8</w:t>
      </w:r>
    </w:p>
    <w:p>
      <w:r>
        <w:t>Le recourant ne conteste pas l’infraction qui lui est reprochée, ni sa qualification d’infraction grave, de sorte qu’il n’y a pas lieu d’y revenir. Il estime néanmoins qu’il devrait être tenu compte de sa situation personnelle et professionnelle dans la durée du retrait de son permis de conduire.</w:t>
      </w:r>
    </w:p>
    <w:p>
      <w:r>
        <w:rPr>
          <w:b/>
        </w:rPr>
        <w:t>E. 9</w:t>
      </w:r>
    </w:p>
    <w:p>
      <w:r>
        <w:t>Lorsque la procédure prévue par la loi fédérale sur les amendes d'ordre du 24 juin 1970 (LAO – RS 741.03) n'est pas applicable, une infraction aux prescriptions de la circulation routière entraîne le retrait du permis de conduire ou un avertissement (art. 16 al. 2 de la loi fédérale sur la circulation routière – LCR – RS 101).</w:t>
      </w:r>
    </w:p>
    <w:p>
      <w:r>
        <w:rPr>
          <w:b/>
        </w:rPr>
        <w:t>E. 10</w:t>
      </w:r>
    </w:p>
    <w:p>
      <w:r>
        <w:t>Pour déterminer la durée et s'il y a lieu de prononcer un retrait d'admonestation la LCR distingue les infractions légères, moyennement graves et graves (art 16a à 16c LCR).</w:t>
      </w:r>
    </w:p>
    <w:p>
      <w:r>
        <w:rPr>
          <w:b/>
        </w:rPr>
        <w:t>E. 11</w:t>
      </w:r>
    </w:p>
    <w:p>
      <w:r>
        <w:t>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LCR, la personne qui, en violant gravement les règles de la circulation, met sérieusement en danger la sécurité d'autrui ou en prend le risque (let. a).</w:t>
      </w:r>
    </w:p>
    <w:p>
      <w:r>
        <w:rPr>
          <w:b/>
        </w:rPr>
        <w:t>E. 12</w:t>
      </w:r>
    </w:p>
    <w:p>
      <w:r>
        <w:t>De façon générale, la qualification de cas grave au sens de l’art. 16c al. 1 let. a LCR correspond à celle de l’art. 90 al. 2 LCR (ATF 132 II 234 consid. 3 ; arrêt du Tribunal fédéral 6B.264/2007 du 19 septembre 2007 consid. 3.1 ; ATA/458/2012 du 30 juillet 2012).</w:t>
      </w:r>
    </w:p>
    <w:p>
      <w:r>
        <w:t>- 6/8 - A/1988/2024</w:t>
      </w:r>
    </w:p>
    <w:p>
      <w:r>
        <w:rPr>
          <w:b/>
        </w:rPr>
        <w:t>E. 13</w:t>
      </w:r>
    </w:p>
    <w:p>
      <w:r>
        <w:t>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(cf. arrêts du Tribunal fédéral 1C_216/2009 du 14 septembre 2009 consid. 5.2; 1C_83/2008 du</w:t>
      </w:r>
    </w:p>
    <w:p>
      <w:r>
        <w:rPr>
          <w:b/>
        </w:rPr>
        <w:t>E. 16</w:t>
      </w:r>
    </w:p>
    <w:p>
      <w:r>
        <w:t>En l'espèce, le recourant a reconnu l’infraction qui lui était reprochée, à savoir un dépassement de la vitesse maximale autorisée de 25 km/h (marge de sécurité déduite) en localité au volant de sa moto. De ce fait, il résulte clairement de l’art. 16c al. 1 let. a LCR et de la jurisprudence précitée que l’infraction commise par le recourant doit être qualifiée de grave. Compte tenu du fait qu’il a déjà fait l’objet d’un retrait du permis de conduire pour une durée de douze mois par décision du 26 octobre 2020, en raison d’une infraction grave, la durée minimale du retrait du permis de conduire est de douze mois (art. 16c al. 2 let. c LCR). Les besoins professionnels et personnels invoqués par le recourant n’ont, dans ces conditions, pas à être pris en compte, ne pouvant dans tous les cas pas avoir pour effet de réduire la sanction, l’OCV étant lié par cette durée qui constitue le minimum légal incompressible, comme le retient la jurisprudence. Au vu de ce qui précède, l’OCV ne s’est pas écartée du minimum légal prévu par l’art. 16c al. 2 let. c LCR en fixant à douze mois la durée de l’interdiction de faire usage du permis de conduire.</w:t>
      </w:r>
    </w:p>
    <w:p>
      <w:r>
        <w:rPr>
          <w:b/>
        </w:rPr>
        <w:t>E. 17</w:t>
      </w:r>
    </w:p>
    <w:p>
      <w:r>
        <w:t>Ne reposant sur aucun motif valable, le recours sera rejeté.</w:t>
      </w:r>
    </w:p>
    <w:p>
      <w:r>
        <w:rPr>
          <w:b/>
        </w:rPr>
        <w:t>E. 18</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- 8/8 - A/1988/2024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