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JTAPI/1027/2021 vom 5. Mai 2021</w:t>
      </w:r>
    </w:p>
    <w:p>
      <w:r>
        <w:t>GE Cour de justice, 2021-05-05, FR</w:t>
      </w:r>
    </w:p>
    <w:p>
      <w:r>
        <w:rPr>
          <w:b/>
        </w:rPr>
        <w:t xml:space="preserve">Quelle: </w:t>
      </w:r>
      <w:r>
        <w:t>https://mcp.opencaselaw.ch/entscheid/ge_gerichte_JTAPI_1027_2021</w:t>
      </w:r>
    </w:p>
    <w:p>
      <w:r>
        <w:t>FR: GE_GERICHTE JTAPI/1027/2021 du 5 mai 2021</w:t>
      </w:r>
    </w:p>
    <w:p>
      <w:r>
        <w:t>IT: GE_GERICHTE JTAPI/1027/2021 del 5 maggio 2021</w:t>
      </w:r>
    </w:p>
    <w:p>
      <w:pPr>
        <w:pStyle w:val="Heading2"/>
      </w:pPr>
      <w:r>
        <w:t>Erwägungen</w:t>
      </w:r>
    </w:p>
    <w:p>
      <w:r>
        <w:rPr>
          <w:b/>
        </w:rPr>
        <w:t>E. 1</w:t>
      </w:r>
    </w:p>
    <w:p>
      <w:r>
        <w:t>Le Tribunal administratif de première instance connaît des recours dirigés, comme en l'espèce, contre les décisions prises par le département chargé de l'agriculture et de la nature en application de la LPRur (art. 17 renvoyant à l'art. 143 de la loi sur les constructions et installations diverses du 14 avril 1988 - LCI - L 5 05; art. 116 de la loi sur l'organisation judiciaire du 26 septembre 2010 - LOJ - E 2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LPRur a pour but de prévenir et réglementer les atteintes à l’aire agricole, en particulier aux terrains affectés ou appropriés à l’agriculture, y compris aux accès et aux délimitations, ainsi qu’aux valeurs naturelles qui s’y trouvent (art. 1).</w:t>
      </w:r>
    </w:p>
    <w:p>
      <w:r>
        <w:t>- 4/7 - A/1716/2021</w:t>
      </w:r>
    </w:p>
    <w:p>
      <w:r>
        <w:rPr>
          <w:b/>
        </w:rPr>
        <w:t>E. 4</w:t>
      </w:r>
    </w:p>
    <w:p>
      <w:r>
        <w:t>Elle s'applique à l’ensemble de l’aire agricole, y compris aux voies d’accès (art. 2 al. 1 LPRur).</w:t>
      </w:r>
    </w:p>
    <w:p>
      <w:r>
        <w:rPr>
          <w:b/>
        </w:rPr>
        <w:t>E. 5</w:t>
      </w:r>
    </w:p>
    <w:p>
      <w:r>
        <w:t>Conformément à l'art. 3 du RPRur, il est interdit à ceux qui ne sont pas des ayants droit de circuler ou de stationner un véhicule dans l'aire agricole, telle que définie à l'art. 2 de la loi.</w:t>
      </w:r>
    </w:p>
    <w:p>
      <w:r>
        <w:rPr>
          <w:b/>
        </w:rPr>
        <w:t>E. 6</w:t>
      </w:r>
    </w:p>
    <w:p>
      <w:r>
        <w:t>Sont des ayants droit les propriétaires de bien-fonds ainsi que tous autres titulaires d'un droit réel, les exploitants et leurs employés, les services officiels et leurs représentants (art. 2 RPRur).</w:t>
      </w:r>
    </w:p>
    <w:p>
      <w:r>
        <w:rPr>
          <w:b/>
        </w:rPr>
        <w:t>E. 7</w:t>
      </w:r>
    </w:p>
    <w:p>
      <w:r>
        <w:t>Selon l'art. 14 al. 1 LPRur, les contrevenants aux dispositions de la présente loi et de son règlement d’application sont passibles d’une amende administrative jusqu’à CHF 60'000.-.</w:t>
      </w:r>
    </w:p>
    <w:p>
      <w:r>
        <w:rPr>
          <w:b/>
        </w:rPr>
        <w:t>E.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(ATA/968/2020 du 29 septembre 2020 ; ATA/440/2019 du 16 avril 2019).</w:t>
      </w:r>
    </w:p>
    <w:p>
      <w:r>
        <w:rPr>
          <w:b/>
        </w:rPr>
        <w:t>E. 9</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(ATA/968/2020 précité ; ATA/440/2019 précité). Il est ainsi nécessaire que le contrevenant ait commis une faute, fût-ce sous la forme d'une simple négligence (ATA/1100/2020 du 3 novembre 2020 consid. 6b; ATA/440/2019 précité et les références citées).</w:t>
      </w:r>
    </w:p>
    <w:p>
      <w:r>
        <w:rPr>
          <w:b/>
        </w:rPr>
        <w:t>E. 10</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w:t>
      </w:r>
    </w:p>
    <w:p>
      <w:r>
        <w:t>- 5/7 - A/1716/2021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ATA/968/2020 précité ; ATA/440/2019 précité).</w:t>
      </w:r>
    </w:p>
    <w:p>
      <w:r>
        <w:rPr>
          <w:b/>
        </w:rPr>
        <w:t>E. 11</w:t>
      </w:r>
    </w:p>
    <w:p>
      <w:r>
        <w:t>En l'espèce, le recourant ne conteste pas, à juste titre, avoir circulé et stationné son scooter, sans droit, dans l'aire agricole. Il sollicite toutefois la clémence du tribunal en invoquant le fait qu'il avait stationné au bord de la route, sur la bande de terre-plein séparant la piste cyclable et la zone agricole, à côté de l'intersection de la route avec un chemin agricole, mais sans empiéter sur ce dernier. Il ressort toutefois des pièces du dossier et de la consultation du système d'information du territoire genevois (SITG; https://ge.ch/sitg/cartes/interactives) que le stationnement incriminé s'est bien produit sur une voie d'accès à l'aire agricole L'entrée de cette desserte jouxte en outre une surface herbagère de type prairie extensive et se trouve à proximité de haies et bosquets, soit deux surfaces faisant partie des surfaces de promotion de la biodiversité. Le recourant relève pour le surplus que le stationnement incriminé, d'une durée d'une heure, ne gênait le passage d'aucun véhicule, piéton ou véhicule agricole. Aucun signal d'interdiction de stationner n'était présent le long de cette route à proximité du lieu où il avait stationné son scooter. Il n'avait pas trouvé dans la LPRur les interdictions ayant entrainé l'amende querellée. Son montant était en tout état hors de proportion avec la nature et la gravité de l'infraction commise par méconnaissance de cette loi. Comme déjà relevé par le département, ces circonstances ne constituent à l'évidence aucunement des faits justificatifs permettant d'exonérer le recourant de toute faute. En effet, d'une part, il existe une interdiction générale de stationnement dans l'aire agricole, sans autres conditions et, d'autre part, la législation sur la police rurale ne prévoit pas la matérialisation du stationnement interdit, ni l'implantation de panneaux d'interdiction. Partant, l'interdiction générale de stationnement dans l'aire agricole prévue par la LPRur et son règlement, ainsi que la sanction y relative, sont pleinement applicables, même en l'absence de gêne pour des tiers et ce qu'une signalisation soit apposée ou non. Le fait que le recourant n'ait pas eu connaissance de cette interdiction générale de stationner ne saurait enfin l'exonérer, étant rappelé que nul n'est censé ignorer la loi. Comme rappelé par le département dans ses écritures, des campagnes d'information ont en outre été largement diffusées, de sorte qu'il est difficile aujourd'hui d'arguer de son ignorance concernant l'interdiction de stationnement dans l'aire agricole. Dans ces conditions, l'amende prononcée à l'encontre du recourant est fondée dans son principe. En fixant son montant à CHF 150.-, le DT a par ailleurs fait une</w:t>
      </w:r>
    </w:p>
    <w:p>
      <w:r>
        <w:t>- 6/7 - A/1716/2021 application plus que mesurée du principe de la proportionnalité. Enfin, le recourant ne fait pas état de difficultés pécuniaires particulières l'empêchant de s’acquitter d’un tel montant, au demeurant modeste par rapport à la fourchette possible rappelée ci-dessus.</w:t>
      </w:r>
    </w:p>
    <w:p>
      <w:r>
        <w:rPr>
          <w:b/>
        </w:rPr>
        <w:t>E. 12</w:t>
      </w:r>
    </w:p>
    <w:p>
      <w:r>
        <w:t>Partant, le recours sera rejeté et l'amende confirmée.</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250.- ; il est couvert par l’avance de frais versée à la suite du dépôt du recours.</w:t>
      </w:r>
    </w:p>
    <w:p>
      <w:r>
        <w:t>- 7/7 - A/1716/2021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