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JTAPI/1026/2024 vom 18. Oktober 2024</w:t>
      </w:r>
    </w:p>
    <w:p>
      <w:r>
        <w:t>GE Cour de justice, 2024-10-18, FR</w:t>
      </w:r>
    </w:p>
    <w:p>
      <w:r>
        <w:rPr>
          <w:b/>
        </w:rPr>
        <w:t xml:space="preserve">Quelle: </w:t>
      </w:r>
      <w:r>
        <w:t>https://mcp.opencaselaw.ch/entscheid/ge_gerichte_JTAPI_1026_2024</w:t>
      </w:r>
    </w:p>
    <w:p>
      <w:r>
        <w:t>FR: GE_GERICHTE JTAPI/1026/2024 du 18 octobre 2024</w:t>
      </w:r>
    </w:p>
    <w:p>
      <w:r>
        <w:t>IT: GE_GERICHTE JTAPI/1026/2024 del 18 ottobre 2024</w:t>
      </w:r>
    </w:p>
    <w:p>
      <w:pPr>
        <w:pStyle w:val="Heading2"/>
      </w:pPr>
      <w:r>
        <w:t>Erwägungen</w:t>
      </w:r>
    </w:p>
    <w:p>
      <w:r>
        <w:rPr>
          <w:b/>
        </w:rPr>
        <w:t>E. 1</w:t>
      </w:r>
    </w:p>
    <w:p>
      <w:r>
        <w:t>Le tribunal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3.3</w:t>
      </w:r>
    </w:p>
    <w:p>
      <w:r>
        <w:t>;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4</w:t>
      </w:r>
    </w:p>
    <w:p>
      <w:r>
        <w:t>Selon l'art.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4.1</w:t>
      </w:r>
    </w:p>
    <w:p>
      <w:r>
        <w:t>; 2C_1044/2012 du 5 novembre 2012 consid.</w:t>
      </w:r>
    </w:p>
    <w:p>
      <w:r>
        <w:rPr>
          <w:b/>
        </w:rPr>
        <w:t>E. 5</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w:t>
      </w:r>
    </w:p>
    <w:p>
      <w:r>
        <w:t>- 5/9 - A/3276/2024 nécessaire de les tenir éloignés d'un endroit déterminé ou de pouvoir les surveiller (arrêt du Tribunal fédéral 2A.583/2000 du 6 avril 2001).</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10</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11</w:t>
      </w:r>
    </w:p>
    <w:p>
      <w:r>
        <w:t>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12</w:t>
      </w:r>
    </w:p>
    <w:p>
      <w:r>
        <w:t>À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13</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w:t>
      </w:r>
    </w:p>
    <w:p>
      <w:r>
        <w:t>- 6/9 - A/3276/2024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14</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15</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16</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17</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t>- 7/9 - A/3276/2024</w:t>
      </w:r>
    </w:p>
    <w:p>
      <w:r>
        <w:rPr>
          <w:b/>
        </w:rPr>
        <w:t>E. 18</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w:t>
      </w:r>
    </w:p>
    <w:p>
      <w:r>
        <w:rPr>
          <w:b/>
        </w:rPr>
        <w:t>E. 19</w:t>
      </w:r>
    </w:p>
    <w:p>
      <w:r>
        <w:t>En l'espèce, M. A______ n'est pas au bénéfice d'une autorisation de courte durée (art. 32 LEI), de séjour (art. 33 LEI) ou d'établissement (art. 34 LEI), ce qui n'est pas contesté. À ce jour, il a fait l'objet de neuf condamnations entre décembre 2022 et septembre 2023, pour vol par métier, violation de domicile, séjour illégal, non-respect d'une assignation à résidence ou d'une interdiction de pénétrer dans une région déterminée et consommation de stupéfiants. Il a également été condamné, par ordonnance pénale du Ministère public du Canton de Genève, le 24 septembre 2024, à une peine privative de liberté de 60 jours, pour vol et séjour illégal. Dans ces circonstances, le commissaire de police était fondé, vu les troubles répétés à la sécurité et à l’ordre publics causés par l’intéressé, à décider d’une mesure d’interdiction de périmètre. S’agissant de l’étendue territoriale, M. A______ soutient que les aides dont il bénéficie dans le canton lui sont indispensables, et que la mesure serait disproportionnée en ce qu’elle l’empêcherait d’y accéder. Il conclut ainsi à la réduction du périmètre interdit, en particulier pour avoir accès au H______. Il prétend par ailleurs qu'il suit un programme de désintoxication à Genève. Il ne rend toutefois pas vraisemblables ces allégations et n’établit en particulier pas que l’interdiction territoriale impliquerait pour lui une mise en danger concrète. Le dispositif d’aide sociale et médicale, y compris la substitution médicamenteuse ou le traitement des addictions, sur lequel le recourant affirme devoir s’appuyer existe notoirement ailleurs qu’à Genève. Par ailleurs, quand bien même il aurait des connaissances à Genève, il ne fait valoir aucune attache réelle et sérieuse dans cette ville. Il est sans domicile fixe et doit recourir, dans différents lieux, à l’assistance pour obtenir des hébergements temporaires ainsi que pour s’alimenter. Il ne bénéficie de la sorte pas d’un ancrage fixe et de relations stables qui seraient susceptibles de réduire, même de façon modeste, le risque qu’il présente, en demeurant par exemple dans un certain</w:t>
      </w:r>
    </w:p>
    <w:p>
      <w:r>
        <w:t>- 8/9 - A/3276/2024 périmètre. Il ne saurait dans ces conditions se prévaloir d'une réduction de l’étendue territoriale. Quant à la durée de la mesure, elle tient compte du fait que M. A______ a déjà fait l'objet d'une première mesure d'interdiction d’une durée de douze mois pour des faits similaires, laquelle ne l’a malheureusement pas dissuadé de poursuivre son activité délictuelle. Partant, la mesure querellée, plus longue que la précédente, n'apparait pas disproportionnée au vu de l’ensemble des circonstances, soit en particulier de l'activité délictuelle déployée et du risque de récidive présent et d’ailleurs réalisé. En outre, cette durée apparaît proportionnée sachant qu’elle a entre autres buts d’encourager l'intéressé, qui a évoqué son souhait de déposer une demande d'asile, à rejoindre le canton auquel il est attribué, à savoir celui des Grisons.</w:t>
      </w:r>
    </w:p>
    <w:p>
      <w:r>
        <w:rPr>
          <w:b/>
        </w:rPr>
        <w:t>E. 20</w:t>
      </w:r>
    </w:p>
    <w:p>
      <w:r>
        <w:t>Au vu de ce qui précède, le tribunal confirmera l'interdiction de pénétrer dans une région déterminée prise à l'encontre de M. A______ pour une durée de 24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- 9/9 - A/3276/2024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