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JTAPI/1018/2024 vom 16. Oktober 2024</w:t>
      </w:r>
    </w:p>
    <w:p>
      <w:r>
        <w:t>GE Cour de justice, 2024-10-16, FR</w:t>
      </w:r>
    </w:p>
    <w:p>
      <w:r>
        <w:rPr>
          <w:b/>
        </w:rPr>
        <w:t xml:space="preserve">Quelle: </w:t>
      </w:r>
      <w:r>
        <w:t>https://mcp.opencaselaw.ch/entscheid/ge_gerichte_JTAPI_1018_2024</w:t>
      </w:r>
    </w:p>
    <w:p>
      <w:r>
        <w:t>FR: GE_GERICHTE JTAPI/1018/2024 du 16 octobre 2024</w:t>
      </w:r>
    </w:p>
    <w:p>
      <w:r>
        <w:t>IT: GE_GERICHTE JTAPI/1018/2024 del 16 ottobre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t>- 12/18 - A/1024/2024</w:t>
      </w:r>
    </w:p>
    <w:p>
      <w:r>
        <w:rPr>
          <w:b/>
        </w:rPr>
        <w:t>E. 05</w:t>
      </w:r>
    </w:p>
    <w:p>
      <w:r>
        <w:t>; art. 3 al. 1 de la loi d'application de la loi fédérale sur les étrangers du 16 juin 1988 - LaLEI - F 2 10). 2. Interjeté en temps utile et dans les formes prescrites devant la juridiction compétente, le recours est recevable au sens des art. 60 et 62 à 65 LPA. 3. Les recourants soutiennent que l'OCPM aurait dû traiter leur requête non pas comme une demande de reconsidération de sa décision du 23 avril 2021, mais comme une nouvelle demande d'autorisation de séjour, laquelle aurait dû être acceptée sur la base de l'art. 30 al. 1 let. b LEI. Pour ce faire, ils se fondent notamment sur la jurisprudence du TAF selon laquelle une demande pour « cas de rigueur » suite à une décision au sens de l'art. 50 LEI devra uniquement être considérée comme une demande de réexamen de la décision de non approbation de la prolongation de l'autorisation de séjour selon l'art. 50 LEI si les motifs invoqués se trouvent dans une relation étroite et avec la situation résultant de la dissolution de l'union conjugale. 4.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w:t>
      </w:r>
    </w:p>
    <w:p>
      <w:r>
        <w:rPr>
          <w:b/>
        </w:rPr>
        <w:t>E. 5</w:t>
      </w:r>
    </w:p>
    <w:p>
      <w:r>
        <w:t>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w:t>
      </w:r>
    </w:p>
    <w:p>
      <w:r>
        <w:t>- 13/18 - A/1024/2024 initiale malgré son entrée en force (ATA/539/2020 précité consid. 4b ; ATA/1244/2019 précité consid. 5b).</w:t>
      </w:r>
    </w:p>
    <w:p>
      <w:r>
        <w:rPr>
          <w:b/>
        </w:rPr>
        <w:t>E. 6</w:t>
      </w:r>
    </w:p>
    <w:p>
      <w:r>
        <w:t>Une demande de reconsidération ne doit pas permettre de remettre continuellement en cause des décisions entrées en force et d'éluder les dispositions légales sur les délais de recours (ATF 136 II 177 consid. 2.1 [arrêt du Tribunal fédéral 2C_883/2018 du 21 mars 2019 consid. 4.3] ; Thierry TANQUEREL, Manuel de droit administratif, 2e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rPr>
          <w:b/>
        </w:rPr>
        <w:t>E. 7</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2C_3______/2015 du 10 septembre 2015 consid. 3 ; 2C_406/2013 du 23 septembre 2013 consid. 4.1).</w:t>
      </w:r>
    </w:p>
    <w:p>
      <w:r>
        <w:rPr>
          <w:b/>
        </w:rPr>
        <w:t>E. 8</w:t>
      </w:r>
    </w:p>
    <w:p>
      <w:r>
        <w:t>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w:t>
      </w:r>
    </w:p>
    <w:p>
      <w:r>
        <w:rPr>
          <w:b/>
        </w:rPr>
        <w:t>E. 9</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w:t>
      </w:r>
    </w:p>
    <w:p>
      <w:r>
        <w:rPr>
          <w:b/>
        </w:rPr>
        <w:t>E. 10</w:t>
      </w:r>
    </w:p>
    <w:p>
      <w:r>
        <w:t>En rapport avec les demandes d'autorisation de séjour pour cas de rigueur, déposées après une décision prise selon l'art. 50 LEI, il convient de tenir compte des éléments suivants.</w:t>
      </w:r>
    </w:p>
    <w:p>
      <w:r>
        <w:t>- 14/18 - A/1024/2024</w:t>
      </w:r>
    </w:p>
    <w:p>
      <w:r>
        <w:t>Selon une jurisprudence constante, au moment de la prise de décision selon l'art. 50 LEI, les critères retenus pour un « cas de rigueur » au sens de l'art. 30 LEI sont en principe pris en compte dans l'examen des raisons personnelles majeures au sens de l'art. 50 LEI (ATF 143 I 21 consid. 4.2.1). Par contre, plus on s'éloigne des circonstances ayant entouré la dissolution de l'union conjugale, plus le lien nécessaire relatif au mariage dissous (« erforderliche Bezug zur aufgelösten Ehe », ATF 138 II 393 consid. 3.1 ; 137 II 345 consid. 3.2.3 ; arrêt du Tribunal fédéral 2C_467/2012 du 25 janvier 2013 consid. 2.2.) fera défaut, moins le cas de rigueur au sens de l'art. 30 LEI, susceptible d'être invoqué par une personne au vu d'une situation personnelle difficile, sera compris dans les raisons personnelles majeures au sens de l'art. 50 LEI, vu que le « cas de rigueur » de ce dernier article doit se trouver dans une connexité temporelle et matérielle étroite avec la situation résultant directement d'une dissolution de l'union conjugale (ATAF 2017 VII/7 consid. 5.5 ; arrêt du Tribunal administratif fédéral F-811/2017 du 20 août 2018 consid. 4.2 ; ATA/490/2020 du 19 mai 2020 consid. 8a).</w:t>
      </w:r>
    </w:p>
    <w:p>
      <w:r>
        <w:t>Selon une jurisprudence constante, au moment de la prise de décision selon l'art. 50 LEI, les critères retenus pour un « cas de rigueur » au sens de l'art. 30 LEI sont en principe pris en compte dans l'examen des raisons personnelles majeures au sens de l'art. 50 LEI (ATF 143 I 21 consid. 4.2.1). Par contre, plus on s'éloigne des circonstances ayant entouré la dissolution de l'union conjugale, plus le lien nécessaire relatif au mariage dissous (« erforderliche Bezug zur aufgelösten Ehe », ATF 138 II 393 consid. 3.1 ; 137 II 345 consid. 3.2.3 ; arrêt du Tribunal fédéral 2C_467/2012 du 25 janvier 2013 consid. 2.2.) fera défaut, moins le cas de rigueur au sens de l'art. 30 LEI, susceptible d'être invoqué par une personne au vu d'une situation personnelle difficile, sera compris dans les raisons personnelles majeures au sens de l'art. 50 LEI, vu que le « cas de rigueur » de ce dernier article doit se trouver dans une connexité temporelle et matérielle étroite avec la situation résultant directement d'une dissolution de l'union conjugale (ATAF 2017 VII/7 consid. 5.5 ; arrêt du Tribunal administratif fédéral F-811/2017 du 20 août 2018 consid. 4.2 ; ATA/490/2020 du 19 mai 2020 consid. 8a). En d'autres termes, une demande de « cas de rigueur » suite à une décision au sens de l'art. 50 LEI devra uniquement être considérée comme une demande de réexamen de la décision de non-approbation à la prolongation de l'autorisation de séjour selon l'art. 50 LEI, si les motifs se trouvent dans un « Zusammenhang », soit dans une relation étroite (temporelle et matérielle) avec la situation résultant de la dissolution de l'union conjugale de la personne concernée (ATAF 2017 VII/7 consid. 5.5.3).</w:t>
      </w:r>
    </w:p>
    <w:p>
      <w:r>
        <w:t>Si, au contraire, les motifs invoqués par l'intéressé pour justifier un cas individuel d'extrême gravité ne devaient avoir aucune connexité avec son union conjugale, respectivement avec la situation dans laquelle il s'était retrouvé suite à la dissolution de son union conjugale, on ne saurait considérer que sa demande d'autorisation de séjour fondée sur un « cas de rigueur » puisse être considérée comme une demande de réexamen d'une décision au sens de l'art. 50 LEI, mais bien plutôt comme une</w:t>
      </w:r>
    </w:p>
    <w:p>
      <w:r>
        <w:t>- 15/18 - A/1024/2024 demande au sens de l'art. 30 LEI, et dont l'examen devra être laissé à la libre appréciation des autorités compétentes (ATAF 2017 VII/7 consid. 5.5.5). Aussi, dans le cas d'une demande d'autorisation de séjour pour cas individuel d'extrême gravité, déposée peu de temps après le refus d'une prolongation de l'autorisation de séjour suite à la dissolution du mariage selon l'art. 50 LEI, le SEM, lorsqu'il est saisi par le canton, devra déterminer si ce dernier a considéré à juste titre que les éléments invoqués à l'appui de la demande se trouvent dans un lien de causalité étroit avec la dissolution de l'union conjugale justifiant un examen sous l'angle du réexamen (ici, l'autorité sera amenée à examiner un droit de l'intéressé à une autorisation de séjour) ou alors si les motifs invoqués n'ont aucun lien de connexité avec la dissolution de l'union conjugale, sont donc autonomes et justifient un examen de la demande sous l'angle du cas individuel d'une extrême gravité selon l'art. 30 LEI, c'est-à-dire s'il se trouve dans une procédure d'approbation (ici, l'autorité sera amenée à examiner la requête selon son libre pouvoir d'appréciation) (ATAF 2017 VII/7 consid. 5.6).</w:t>
      </w:r>
    </w:p>
    <w:p>
      <w:r>
        <w:rPr>
          <w:b/>
        </w:rPr>
        <w:t>E. 11</w:t>
      </w:r>
    </w:p>
    <w:p>
      <w:r>
        <w:t>Dans l'ATAF 2017 VII/7 précité, le Tribunal administratif fédéral (ci-après : le TAF) a notamment relevé que si la motivation matérielle de la demande du recourant comportait toujours le motif de sa bonne intégration en Suisse, motif déjà invoqué lors de sa demande en prolongation de son autorisation de séjour suite à la dissolution de son mariage, il devait être constaté que la connexité (temporelle et matérielle) avec sa situation suite à la dissolution de son mariage n'était plus du tout donnée s'agissant d'une demande formée sept ans après la décision de l'ODM refusant de donner son approbation à la prolongation de l'autorisation de séjour de l'intéressé, pendant lesquels ce dernier s'était enraciné en Suisse avec tout ce que cela impliquait (consid. 6.1).</w:t>
      </w:r>
    </w:p>
    <w:p>
      <w:r>
        <w:rPr>
          <w:b/>
        </w:rPr>
        <w:t>E. 12</w:t>
      </w:r>
    </w:p>
    <w:p>
      <w:r>
        <w:t>Dans une jurisprudence qui concerne une problématique semblable (ATA/490/2020 précité), la chambre administrative a retenu que l'OCPM et le tribunal étaient en droit de qualifier la demande « de permis humanitaire » du recourant de demande de reconsidération dans la mesure où il présentait, moins de quatre mois seulement après la notification de l'arrêt le concernant, les mêmes éléments et arguments avancés que dans le cadre de la procédure contre la décision de refus de renouvellement de son autorisation de séjour analysée sous l'angle des raisons personnelles majeures au sens de l'art. 50 al. 1 let. b et al. 2 LEI (une bonne intégration en Suisse et l'impossibilité de sa réintégration dans son pays d'origine).</w:t>
      </w:r>
    </w:p>
    <w:p>
      <w:r>
        <w:rPr>
          <w:b/>
        </w:rPr>
        <w:t>E. 13</w:t>
      </w:r>
    </w:p>
    <w:p>
      <w:r>
        <w:t>En l'espèce, l'arrêt du Tribunal fédéral du 4 août 2023 (2C_1059/2022) a confirmé de manière définitive la décision de l'OCPM du 23 avril 2021 refusant le renouvellement de l'autorisation de séjour des intéressés. Dans cette décision et cet arrêt du Tribunal fédéral, la situation des recourants a été examinée sous l'angle des raisons personnelles majeures au sens de l'art. 50 LEI. M. A______ a formé la demande litigieuse du 26 février 2024 moins de sept mois seulement après la notification dudit arrêt du Tribunal fédéral. Or, les éléments présentés et les arguments qu’il a avancés à l'appui de sa demande sont les mêmes</w:t>
      </w:r>
    </w:p>
    <w:p>
      <w:r>
        <w:t>- 16/18 - A/1024/2024 que ceux ayant donné lieu à l'ATA/1152/2022 que le Tribunal fédéral a confirmé, à savoir en particulier sa bonne intégration en Suisse et l'impossibilité de sa réintégration au Kosovo. En effet, dans le cadre de la présente procédure, M. A______ prétend que les nouveaux éléments, qui justifieraient l’examen de sa demande sous l’angle de l’art. 30 LEI, seraient notamment le fait que depuis la décision de l'OCPM du 23 avril 2021, il a fondé une entreprise « prospère », n’aurait fait l’objet d’aucune nouvelle condamnation pénale et que ses enfants auraient fait preuve d’une intégration scolaire et sociale « exemplaire ». Or, ces allégations apparaissent inexactes puisqu’il a fait l’objet d’une troisième condamnation pénale en novembre 2023, qu'il a fondé son entreprise en 2020 et que son enfant B______ a fait l’objet d’une plainte pénale déposée à son encontre en mars 2021 pour menaces et injure. Par ailleurs, ces éléments ont été explicitement examinés par la chambre administrative dans l'ATA/1152/2022, excepté sa troisième condamnation pénale de novembre 2023, laquelle ne représente du reste pas un nouvel élément à son avantage. Il faut par ailleurs relever que, contrairement à ce qu’il prétend dans ses écritures, son casier judiciaire n’est pas vierge, comme l’a constaté le Ministère public dans son ordonnance de novembre 2023. Dans ces circonstances, même en appliquant la jurisprudence du TAF à laquelle se réfère le recourant si tant est qu'elle soit applicable au cas d'espèce, force est de constater que la connexité temporelle et matérielle avec sa situation suite à la dissolution de son mariage est donnée et ne justifie pas qu'il soit procédé à un nouvel examen de sa situation sous l'angle du cas individuel d'une extrême gravité selon l'art. 30 LEI. C'est donc à raison que l'OCPM a considéré que la demande du 26 février 2024 devait être qualifiée de demande de reconsidération de sa décision d’avril 2021.</w:t>
      </w:r>
    </w:p>
    <w:p>
      <w:r>
        <w:rPr>
          <w:b/>
        </w:rPr>
        <w:t>E. 14</w:t>
      </w:r>
    </w:p>
    <w:p>
      <w:r>
        <w:t>Reste à examiner si l'OCPM a refusé à bon droit d'entrer en matière sur celle-ci.</w:t>
      </w:r>
    </w:p>
    <w:p>
      <w:r>
        <w:rPr>
          <w:b/>
        </w:rPr>
        <w:t>E. 15</w:t>
      </w:r>
    </w:p>
    <w:p>
      <w:r>
        <w:t>En l'occurrence, comme relevé ci-avant, M. A______ invoque les mêmes éléments dans sa demande du 26 février 2024 que ceux invoqués dans la précédente procédure ayant abouti à l’arrêt 2C_1059/2022 du Tribunal fédéral, à savoir la longue durée de son séjour en Suisse, son excellente intégration socio- professionnelle, sa maîtrise de la langue française, sa bonne situation financière et le pronostic plus que défavorable s'agissant de sa réintégration et de celle de ses enfants au Kosovo. Si leur séjour est dorénavant plus long, leur intégration meilleure et leur réintégration au Kosovo plus difficile encore, pour autant que cela soit avéré, ces éléments ne peuvent pas non plus être qualifiés de modifications notables des circonstances au sens de l'art. 48 al. 1 let. b LPA, dès lors qu'ils résultent uniquement du fait que M. A______ ne s'est pas conformé à une décision initiale, malgré son entrée en force, lui ordonnant de quitter le territoire suisse. Il ne peut dès lors être reproché à l'OCPM d'avoir refusé d'entrer en matière sur la demande formée par M. A______ le 23 avril 2024.</w:t>
      </w:r>
    </w:p>
    <w:p>
      <w:r>
        <w:rPr>
          <w:b/>
        </w:rPr>
        <w:t>E. 16</w:t>
      </w:r>
    </w:p>
    <w:p>
      <w:r>
        <w:t>Au vu de ce qui précède, le recours, mal fondé, sera rejeté.</w:t>
      </w:r>
    </w:p>
    <w:p>
      <w:r>
        <w:t>- 17/18 - A/1024/2024</w:t>
      </w:r>
    </w:p>
    <w:p>
      <w:r>
        <w:rPr>
          <w:b/>
        </w:rPr>
        <w:t>E. 17</w:t>
      </w:r>
    </w:p>
    <w:p>
      <w:r>
        <w:t>En application des art. 87 al. 1 LPA et 1 et 2 du règlement sur les frais, émoluments et indemnités en procédure administrative du 30 juillet 1986 (RFPA - E 5 10.03), M. A______, qui succombe, est condamné au paiement d’un émolument s'élevant à CHF 500.- ; il est couvert par l’avance de frais versée à la suite du dépôt du recours.</w:t>
      </w:r>
    </w:p>
    <w:p>
      <w:r>
        <w:rPr>
          <w:b/>
        </w:rPr>
        <w:t>E. 18</w:t>
      </w:r>
    </w:p>
    <w:p>
      <w:r>
        <w:t>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- 18/18 - A/1024/2024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