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JTAPI/1015/2024 vom 11. Oktober 2024</w:t>
      </w:r>
    </w:p>
    <w:p>
      <w:r>
        <w:t>GE Cour de justice, 2024-10-11, FR</w:t>
      </w:r>
    </w:p>
    <w:p>
      <w:r>
        <w:rPr>
          <w:b/>
        </w:rPr>
        <w:t xml:space="preserve">Quelle: </w:t>
      </w:r>
      <w:r>
        <w:t>https://mcp.opencaselaw.ch/entscheid/ge_gerichte_JTAPI_1015_2024</w:t>
      </w:r>
    </w:p>
    <w:p>
      <w:r>
        <w:t>FR: GE_GERICHTE JTAPI/1015/2024 du 11 octobre 2024</w:t>
      </w:r>
    </w:p>
    <w:p>
      <w:r>
        <w:t>IT: GE_GERICHTE JTAPI/1015/2024 del 11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w:t>
      </w:r>
    </w:p>
    <w:p>
      <w:r>
        <w:t>- 4/8 - A/1712/2024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w:t>
      </w:r>
    </w:p>
    <w:p>
      <w:r>
        <w:t>- 5/8 - A/1712/2024 pour les autres usagers de la route selon que l’excès de vitesse est commis sur une autoroute, sur une semi-autoroute, sur une sortie d’autoroute, etc. (cf. not. arrêts du Tribunal fédéral 1C_216/2009 du 14 septembre 2009 consid. 5.2 ; 1C_83/2008 du 16 octobre 2008 in JdT 2008 I 447 s.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 5.2 ; ATA/25/2015 du 6 janvier 2015 consid. 5a). Il est de moyenne gravité lorsque le dépassement de la vitesse autorisée est, respectivement, de 21 à 24 km/h (ATF 126 II 196 consid. 2a ; arrêt du Tribunal fédéral 1C_216/2009 du 14 septembre 2009 consid. 5.2 ; ATA/25/2015 du 6 janvier 2015 consid. 5a), de 26 à 29 km/h et de 31 à 34 km/h (ATF 128 II 131 consid. 2a ; arrêt du Tribunal fédéral 1C_216/2009 du 14 septembre 2009 consid. 5.2 ; ATA/25/2015 du 6 janvier 2015 consid. 5a). Les excès de vitesse inférieurs aux valeurs susmentionnées et qui ne peuvent pas être sanctionnés par une simple amende d'ordre doivent faire l'objet au minimum d'un avertissement en raison de la mise en danger abstraite accrue à laquelle ils exposent les autres usagers de la route (arrêts du Tribunal fédéral 1C_83/2008 du 16 octobre 2008 consid. 2.1 ; 6A.52/2005 du 2 décembre 2005 consid. 2.2.3). En localité, un dépassement de la vitesse autorisée jusqu'à 15 km/h demeure sanctionné par une amende d'ordre ; au-delà, la LAO n'est pas applicable (cf. ch. 303.1 let. c de l'annexe 1 de l'OAO). Sur le plan administratif, un dépassement de plus de 15 km/h en localité ne peut être considéré comme une infraction particulièrement légère au sens de l'art. 16 al. 4 LCR (arrêt du Tribunal fédéral 6B_1028/2008 du 16 avril 2009 consid. 3.7 et les références citées), de sorte qu'il doit au minimum faire l'objet d'un avertissement (cf. par ex. arrêt du Tribunal fédéral 1C_488/2013 du 11 juillet 2013 consid. 2.4 et l'arrêt cité). L'art. 16a al. 2 LCR prévoit, qu'après une infraction légère, le permis de conduire est retiré pour un mois au moins au conducteur qui a fait l'objet d'un retrait de permis ou d'une autre mesure administrative au cours des deux années précédentes. Selon l'art. 16a al. 3 LCR, un avertissement est prononcé si, au cours des deux années précédentes, le permis de conduire ne lui a pas été retiré et qu'aucune autre mesure administrative n'a été prononcée.</w:t>
      </w:r>
    </w:p>
    <w:p>
      <w:r>
        <w:rPr>
          <w:b/>
        </w:rPr>
        <w:t>E. 10</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Selon la jurisprudence du Tribunal fédéral, cette dernière règle s’impose à l'autorité et aux tribunaux sans dérogation possible, même pour tenir compte de besoins professionnels particuliers du conducteur (ATF</w:t>
      </w:r>
    </w:p>
    <w:p>
      <w:r>
        <w:t>- 6/8 - A/1712/2024 132 II 234 consid. 2 ; arrêt 1C_585/2008 du 14 mai 2009 consid. 2.1 ; cf. aussi ATA/23/2015 du 6 janvier 2015).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 ; 132 II 234 consid. 2.3 ; arrêt 1C_188/2010 du 6 septembre 2010 consid. 2.1 ; cf. aussi ATA/23/2015 du 6 janvier 2015 ; ATA/648/2013 du 1er octobre 2013 ; ATA/552/2012 du 21 août 2012).</w:t>
      </w:r>
    </w:p>
    <w:p>
      <w:r>
        <w:rPr>
          <w:b/>
        </w:rPr>
        <w:t>E. 11</w:t>
      </w:r>
    </w:p>
    <w:p>
      <w:r>
        <w:t>Le fait que l'infraction ait été commise alors que les conditions de circulation étaient favorables ne joue aucun rôle sur la gravité de l'infraction lorsque les seuils d'excès de vitesse fixés par la jurisprudence sont atteints, les seuils ayant été atteints en fonction de ces prémisses (ATF 132 II 234, consid. 3 ; ATF 124 II 475, consid. 2a).</w:t>
      </w:r>
    </w:p>
    <w:p>
      <w:r>
        <w:rPr>
          <w:b/>
        </w:rPr>
        <w:t>E. 12</w:t>
      </w:r>
    </w:p>
    <w:p>
      <w:r>
        <w:t>En l'espèce, il est établi, et non contesté d'ailleurs, que le recourant a dépassé la vitesse autorisée de 18 km/h en localité, marge de sécurité déduite, de sorte que l'infraction en cause doit être qualifiée de légère au sens de l'art. 16a al. 1 let. a LCR. Le recourant allègue, qu'en raison des circonstances, soit la chaussée en parfait état et les conditions météorologiques favorables – permettant d'exclure tout risque d'une perte d'adhérence −, ainsi que de la faible circulation au moment des faits, son comportement n'a pas mis en danger d'autres usagers de la route, de sorte que le retrait prononcé ne se justifie pas. Il ne saurait cependant être suivi. En effet, comme la jurisprudence rappelée ci- dessus le retient, ces circonstances ne sont pas pertinentes au moment d'examiner la gravité de l'infraction lorsque les seuils d'excès de vitesse fixés par la jurisprudence sont atteints, ce qui est le cas in casu. Il en va de même de l'argument du recourant à teneur duquel la limite de 30 km/h ne répondrait pas à des exigences d'ordre sécuritaire, mais viserait uniquement à limiter les nuisances sonores. Ces circonstances sont cependant à prendre en considération pour fixer la durée du retrait du permis de conduire. Il sera également tenu compte des antécédents du recourant en tant que conducteur, ainsi que la nécessité professionnelle pour ce dernier de conduire un véhicule automobile. A cet égard, force est de constater que l'autorité intimée, en prononçant un retrait du permis de conduire d'une durée d'un mois, soit le minimum légal incompressible, a tenu compte, d'une part, de la gravité légère de l'infraction commise par le recourant et, d'autre part, du fait que ce dernier avait déjà fait l'objet d'un avertissement au cours des deux années ayant précédé l'infraction en cause. Le recourant n'a pas fait valoir la nécessité professionnelle de conduire un véhicule automobile. Pour le surplus, comme spécifié dans le courrier de l'OCV du 12 février 2024, la participation du recourant au cours d'éducation routière, laquelle est prise en compte dans l'appréciation globale du dossier, ne saurait réduire la durée minimale de la mesure administrative prévue par la législation.</w:t>
      </w:r>
    </w:p>
    <w:p>
      <w:r>
        <w:t>- 7/8 - A/1712/2024</w:t>
      </w:r>
    </w:p>
    <w:p>
      <w:r>
        <w:rPr>
          <w:b/>
        </w:rPr>
        <w:t>E. 13</w:t>
      </w:r>
    </w:p>
    <w:p>
      <w:r>
        <w:t>Au vu de ce qui précède, le tribunal retient que l'OCV ne s'est pas écarté du minimum légal prévu par l'art. 16a al. 2 LCR en fixant à un mois la durée du retrait du permis de conduire du recourant. Etant lié par cette durée, qui constitue le minimum légal incompressible devant sanctionner l'infraction en cause, il a correctement appliqué la règle précitée, n'a pas excédé ou abusé de son pouvoir d'appréciation ni violé le principe de proportionnalité.</w:t>
      </w:r>
    </w:p>
    <w:p>
      <w:r>
        <w:rPr>
          <w:b/>
        </w:rPr>
        <w:t>E. 14</w:t>
      </w:r>
    </w:p>
    <w:p>
      <w:r>
        <w:t>Ne reposant sur aucun motif valable, le recours doit être rejeté et la décision confirmée.</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A/1712/2024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