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JTAPI/1012/2024 vom 11. Oktober 2024</w:t>
      </w:r>
    </w:p>
    <w:p>
      <w:r>
        <w:t>GE Cour de justice, 2024-10-11, FR</w:t>
      </w:r>
    </w:p>
    <w:p>
      <w:r>
        <w:rPr>
          <w:b/>
        </w:rPr>
        <w:t xml:space="preserve">Quelle: </w:t>
      </w:r>
      <w:r>
        <w:t>https://mcp.opencaselaw.ch/entscheid/ge_gerichte_JTAPI_1012_2024</w:t>
      </w:r>
    </w:p>
    <w:p>
      <w:r>
        <w:t>FR: GE_GERICHTE JTAPI/1012/2024 du 11 octobre 2024</w:t>
      </w:r>
    </w:p>
    <w:p>
      <w:r>
        <w:t>IT: GE_GERICHTE JTAPI/1012/2024 del 11 ottobre 2024</w:t>
      </w:r>
    </w:p>
    <w:p>
      <w:pPr>
        <w:pStyle w:val="Heading2"/>
      </w:pPr>
      <w:r>
        <w:t>Erwägungen</w:t>
      </w:r>
    </w:p>
    <w:p>
      <w:r>
        <w:rPr>
          <w:b/>
        </w:rPr>
        <w:t>E. 1</w:t>
      </w:r>
    </w:p>
    <w:p>
      <w:r>
        <w:t>Le Tribunal administratif de première instance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- 8/15 - A/822/2024</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6</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w:t>
      </w:r>
    </w:p>
    <w:p>
      <w:r>
        <w:rPr>
          <w:b/>
        </w:rPr>
        <w:t>E. 7</w:t>
      </w:r>
    </w:p>
    <w:p>
      <w:r>
        <w:t>Lorsqu’un étranger ne possède pas de droit à l’exercice d’une activité lucrative, une décision cantonale préalable concernant le marché du travail est nécessaire pour l’admettre en vue de l’exercice d’une activité lucrative (art. 40 al. 2 LEI).</w:t>
      </w:r>
    </w:p>
    <w:p>
      <w:r>
        <w:rPr>
          <w:b/>
        </w:rPr>
        <w:t>E. 7.1</w:t>
      </w:r>
    </w:p>
    <w:p>
      <w:r>
        <w:t>;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w:t>
      </w:r>
    </w:p>
    <w:p>
      <w:r>
        <w:t>- 11/15 - A/822/2024 existe une demande non négligeable et qui n'est pas déjà fournie en surabondance (ATA/184/2022 du 22 février 2022 consid. 8e et les références citées ; Minh Son NGUYEN/Cesla AMARELLE, Code annoté de droit des migrations, vol. 2 : LEtr, 2017, p. 145 s. et les références citées).</w:t>
      </w:r>
    </w:p>
    <w:p>
      <w:r>
        <w:rPr>
          <w:b/>
        </w:rPr>
        <w:t>E. 8</w:t>
      </w:r>
    </w:p>
    <w:p>
      <w:r>
        <w:t>Aux termes de l’art. 83 al. 1 let. a de l'ordonnance relative à l'admission, au séjour et à l'exercice d'une activité lucrative du 24 octobre 2007 (OASA - RS 142.201),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w:t>
      </w:r>
    </w:p>
    <w:p>
      <w:r>
        <w:rPr>
          <w:b/>
        </w:rPr>
        <w:t>E. 9</w:t>
      </w:r>
    </w:p>
    <w:p>
      <w:r>
        <w:t>La procédure d’obtention d’autorisation est réglée à Genève aux art. 6 al. 1 à 7 du règlement d'application de la loi fédérale sur les étrangers du 9 mars 2009 (RaLEtr - F 2 10.01).</w:t>
      </w:r>
    </w:p>
    <w:p>
      <w:r>
        <w:t>- 9/15 - A/822/2024</w:t>
      </w:r>
    </w:p>
    <w:p>
      <w:r>
        <w:rPr>
          <w:b/>
        </w:rPr>
        <w:t>E. 10</w:t>
      </w:r>
    </w:p>
    <w:p>
      <w:r>
        <w:t>Selon l'art. 2 al. 1 OASA, qui concrétise l'art. 19 LEI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w:t>
      </w:r>
    </w:p>
    <w:p>
      <w:r>
        <w:rPr>
          <w:b/>
        </w:rPr>
        <w:t>E. 11</w:t>
      </w:r>
    </w:p>
    <w:p>
      <w:r>
        <w:t>La jurisprudence a retenu qu'une personne, seule et unique associée d'une société à responsabilité limitée exerce une activité lucrative indépendante (cf. ATAF C- 7286/2008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w:t>
      </w:r>
    </w:p>
    <w:p>
      <w:r>
        <w:rPr>
          <w:b/>
        </w:rPr>
        <w:t>E. 12</w:t>
      </w:r>
    </w:p>
    <w:p>
      <w:r>
        <w:t>En l'espèce, quand bien même le recourant a signé un contrat de travail avec B______ Sàrl en qualité de directeur, ce qui fait formellement de lui un salarié de cette société et donc, à première vue, une personne exerçant une activité lucrative dépendante, il convient de retenir qu'il exerce en réalité une activité lucrative indépendante. En effet, dès lors qu'il est l’un des associés de cette société, son activité est déployée dans le cadre exclusif de sa propre organisation. De plus, selon ses propres explications, il occupe la fonction dirigeante de l’entreprise. Partant, sa demande doit effectivement être analysée sous l’angle de l’exercice d’une activité lucrative indépendante (art. 19 LEI), ce qui n’est au demeurant pas contesté.</w:t>
      </w:r>
    </w:p>
    <w:p>
      <w:r>
        <w:rPr>
          <w:b/>
        </w:rPr>
        <w:t>E. 13</w:t>
      </w:r>
    </w:p>
    <w:p>
      <w:r>
        <w:t>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Tribunal administratif fédéral F-4755/2018 du 27 janvier 2021 consid. 4.3 in fine). En raison de sa formulation potestative, cette disposition ne confère aucun droit à la délivrance d'une telle autorisation de séjour (arrêts du Tribunal fédéral 2C_56/2016 du 20 janvier 2016 consid. 3 ; 2D_4/2015 du 23 janvier 2015 consid.</w:t>
      </w:r>
    </w:p>
    <w:p>
      <w:r>
        <w:t>- 10/15 - A/822/2024 3 ; 2C_541/2012 du 11 juin 2012 consid. 4.2) et les autorités compétentes bénéficient d'un large pouvoir d'appréciation dans le cadre de son application (cf. arrêts du Tribunal administratif fédéral C-5184/2014 du 31 mars 2016 consid. 5.1 ; C-5420/2012 du 15 janvier 2014 consid. 6.2 ; ATA/1660/2019 du 12 novembre 2019 consid. 4b).</w:t>
      </w:r>
    </w:p>
    <w:p>
      <w:r>
        <w:rPr>
          <w:b/>
        </w:rPr>
        <w:t>E. 14</w:t>
      </w:r>
    </w:p>
    <w:p>
      <w:r>
        <w:t>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 Directives et commentaires, Domaine des étrangers, Séjour avec activité lucrative [Chapitre 4], 2013, état au 1er juin 2024 [ci-après : directives du SEM], ch. 4.3.1, 4.7.2.1 et 4.7.2.2).</w:t>
      </w:r>
    </w:p>
    <w:p>
      <w:r>
        <w:rPr>
          <w:b/>
        </w:rPr>
        <w:t>E. 15</w:t>
      </w:r>
    </w:p>
    <w:p>
      <w:r>
        <w:t>Dans un arrêt du 22 février 2022, la chambre administrative de la Cour de justice (ci-après : chambre administrative) a retenu que les prévisions d’emploi de six personnes à l’horizon 2023 ne pouvaient être considérées comme remplissant la condition de création de places pour la main-d'œuvre locale (ATA/184/2022, consid. 8.g).</w:t>
      </w:r>
    </w:p>
    <w:p>
      <w:r>
        <w:rPr>
          <w:b/>
        </w:rPr>
        <w:t>E. 16</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w:t>
      </w:r>
    </w:p>
    <w:p>
      <w:r>
        <w:rPr>
          <w:b/>
        </w:rPr>
        <w:t>E. 17</w:t>
      </w:r>
    </w:p>
    <w:p>
      <w:r>
        <w:t>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(directives du SEM, séjour avec activité lucrative (Chapitre 4) du 25 octobre 2013, état au 1er juin 2024 (ci-après : directives SEM), ch. 4.3.1; arrêt du Tribunal administratif fédéral F-4226/ 2017 du 8 octobre 2019 consid. 4.5.1 ; ATA/1198/2021 du 9 novembre 2021 consid. 7b).</w:t>
      </w:r>
    </w:p>
    <w:p>
      <w:r>
        <w:rPr>
          <w:b/>
        </w:rPr>
        <w:t>E. 18</w:t>
      </w:r>
    </w:p>
    <w:p>
      <w:r>
        <w:t>Afin de permettre à l'autorité d'examiner les conditions financières et les exigences liées à l'exploitation de l'entreprise, les demandes doivent être motivées et accompagnées des documents conformément à la liste de vérification des annexes à fournir (cf. directives du SEM, ch.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du SEM, ch. 4.7.2.3).</w:t>
      </w:r>
    </w:p>
    <w:p>
      <w:r>
        <w:rPr>
          <w:b/>
        </w:rPr>
        <w:t>E. 19</w:t>
      </w:r>
    </w:p>
    <w:p>
      <w:r>
        <w:t>L’autorisation doit également s’inscrire dans les limites du contingent fixé par le Conseil fédéral (art. 20 LEI), selon un nombre maximum fixé dans l’annexe 2 OASA, à savoir 91 permis B pour l’année 2024.</w:t>
      </w:r>
    </w:p>
    <w:p>
      <w:r>
        <w:rPr>
          <w:b/>
        </w:rPr>
        <w:t>E. 20</w:t>
      </w:r>
    </w:p>
    <w:p>
      <w:r>
        <w:t>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le recourant étaient insuffisants pour permettre de considérer que l’admission de sa demande servirait les intérêts économiques helvétiques au sens de la loi et de la jurisprudence précitées.</w:t>
      </w:r>
    </w:p>
    <w:p>
      <w:r>
        <w:t>- 12/15 - A/822/2024 En effet, le recourant n'a pas démontré que son activité, telle qu’annoncée dans sa demande et dans les deux Business plans produits - soit la commercialisation d’un soda au café, qui se distinguerait notamment par son goût unique et la prise en compte des préoccupations des consommateurs sur la santé et la responsabilité environnementale - revêtirait une originalité particulière dans le paysage économique genevois et contribuerait ainsi à sa diversification. De même et en l’état du dossier, il n’a pas été démontré par le recourant, qui supporte le fardeau de la preuve, que son projet serait à même de s’inscrire dans un secteur d’activités innovant. S’agissant du partenariat stratégique annoncé avec C______ SA, il sera retenu qu’il ne repose sur aucun élément au dossier. Il en va de même de la prétendue commande d’environ 500'000 canettes par C______ SA annoncée par le recourant, dont l’existence n’a pas été démontrée. Il sera en outre relevé que, dans le cadre de son recours, le recourant a annoncé le début de cette collaboration pour mai 2024. Dès lors que, cinq mois plus tard, le recourant, qui n’a d’ailleurs pas fait usage de la possibilité de répliquer, n’a toujours pas prouvé la véracité d’une telle allégation, celle-ci ne saurait être prise en compte. Par conséquent, faute pour le recourant d’avoir démontré l’existence d’une réelle demande en lien avec le produit qu’il entend proposer, respectivement développer, le tribunal retiendra que celui-ci n’est pas à même de contribuer à la diversification du tissu économique genevois. Dans le même sens, la condition de la création de places de travail ne paraît pas davantage réalisée. Le recourant a indiqué, dans son recours, qu’il souhaitait engager quatre personnes à l’avenir. D’une part, force est de constater qu’il s’agit d’une simple allégation relativement vague, dès lors que l’on ignore les postes concernés, le montant des salaires ou encore le délai dans lequel ces engagements sont prévus. D’autre part et en tout état, comme cela ressort de la jurisprudence précitée, de telles prévisions sont modestes et insuffisantes pour permettre l'octroi d’une autorisation avec activité lucrative indépendante dans le canton de Genève, notamment en raison de l'exiguïté du contingent cantonal. L’on ne saurait donc considérer que l'activité de la société et celle du recourant permettraient la création d'un nombre d'emplois significatif qui aurait des retombées positives et durables sur le marché suisse du travail. Par ailleurs, le recourant n’est pas parvenu à démontrer que les activités déployées permettraient de générer de nouveaux mandats pour l'économie suisse. En effet, aucun contrat, ni même offre ou devis auprès de potentiels clients, n’a été versé au dossier. Pour ce même motif, comme exposé plus haut, les allégations de partenariat avec C______ SA ne sauraient être prises en compte. Il en va de même s’agissant d’éventuels investissements substantiels en Suisse de la part du recourant, dont l’existence n’a pas été démontrée, ni même alléguée. Quant à l’allégué du recourant selon lequel son activité était sur la voie de la rentabilité dans les années à venir avec des signes tangibles de croissance déjà perceptibles, il n'est appuyé par aucune pièce justificative.</w:t>
      </w:r>
    </w:p>
    <w:p>
      <w:r>
        <w:t>- 13/15 - A/822/2024 Il convient encore de relever que les deux Business Plans, produits respectivement en annexe de la requête d’autorisation de travail puis du recours, comportent plusieurs incohérences. Il ressort notamment des constats de l’OCIRT, que le tribunal fait siens, qu’alors que les salariés devaient être au nombre de sept durant les cinq premières années et que leurs salaires devaient augmenter, que les charges du personnel diminueront au contraire au fil des années, A cela s'ajoute que sur le compte de résultats, la projection des impôts est de 0%, sans aucune explication, ce qui parait quelque peu surprenant, alors que sur le compte de trésorerie, les impôts sont évalués à 16%, ce qui apparaît contradictoire. De plus, selon le nouveau Business plan du 5 mars 2024, les marchandises de production et stock ne figurent plus dans la trésorerie d’investissement. La notion de « marketing &amp; développement des marchés mondiaux » est évasive, le recourant n’ayant pas concrètement spécifié en quoi celle-ci consisterait, si ce n’était en expliquant que les réseaux sociaux seraient le canal de référencement pour la société. Les charges du personnel ont été augmentées pour être proportionnelles au revenu. Le prêt étranger a baissé à CHF 2'500'000.- ; aucun intérêt sur prêt n'est indiqué et l’origine de ce financement n’est pas spécifiée. Dans ces conditions, les Business plans produits par le recourant en annexe de sa requête puis en cours de procédure de recours n’apparaissent pas suffisamment probants pour déterminer, et a fortiori démontrer, l’intérêt économique de sa demande. Au vu de ce qui précède, force est de constater qu'il n'apparaît pas qu'il résulterait de l’admission de la demande du recourant des retombées durables positives pour le marché suisse du travail ou que celui-ci en tirerait durablement profit, mais au contraire que la délivrance du permis requis servirait en réalité les seuls intérêts privés du recourant et ceux de B______ Sàrl dont il est l’associé gérant président. En conclusion, il sera retenu que l'admission de la demande du recourant ne sert pas les intérêts économiques de la Suisse, contrairement à ce qu'exige l'art. 19 let. a LEI.</w:t>
      </w:r>
    </w:p>
    <w:p>
      <w:r>
        <w:rPr>
          <w:b/>
        </w:rPr>
        <w:t>E. 21</w:t>
      </w:r>
    </w:p>
    <w:p>
      <w:r>
        <w:t>La première condition - cumulative - de l'art. 19 LEI n'étant pas réalisée, il n'est pas nécessaire d'examiner les autres conditions de cette disposition, ni d'ailleurs les autres arguments développés par le recourant, étant rappelé que, compte tenu de l'exiguïté des contingents du canton de Genève, qui se montent, pour rappel, à 91 unités pour l’année 2024, la commission tripartite est en outre contrainte de ne retenir que les demandes qui se démarquent pas un fort intérêt économique, ce qui n'est pas le cas en l'occurrence.</w:t>
      </w:r>
    </w:p>
    <w:p>
      <w:r>
        <w:rPr>
          <w:b/>
        </w:rPr>
        <w:t>E. 22</w:t>
      </w:r>
    </w:p>
    <w:p>
      <w:r>
        <w:t>Au vu de ce qui précède, l'analyse à laquelle a procédé l’OCIRT, qui dispose en la matière d’un large pouvoir d'appréciation, n'apparaît pas inappropriée ni fondée sur des éléments dépourvus de pertinence, négligeant des facteurs décisifs ou guidée par une appréciation insoutenable des circonstances, que ce soit dans son approche ou dans son résultat.</w:t>
      </w:r>
    </w:p>
    <w:p>
      <w:r>
        <w:t>- 14/15 - A/822/2024 L’on ne peut ainsi retenir que cet office aurait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w:t>
      </w:r>
    </w:p>
    <w:p>
      <w:r>
        <w:rPr>
          <w:b/>
        </w:rPr>
        <w:t>E. 23</w:t>
      </w:r>
    </w:p>
    <w:p>
      <w:r>
        <w:t>En conclusion, mal 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- 15/15 - A/822/2024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