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JTAPI/1011/2024 vom 11. Oktober 2024</w:t>
      </w:r>
    </w:p>
    <w:p>
      <w:r>
        <w:t>GE Cour de justice, 2024-10-11, FR</w:t>
      </w:r>
    </w:p>
    <w:p>
      <w:r>
        <w:rPr>
          <w:b/>
        </w:rPr>
        <w:t xml:space="preserve">Quelle: </w:t>
      </w:r>
      <w:r>
        <w:t>https://mcp.opencaselaw.ch/entscheid/ge_gerichte_JTAPI_1011_2024</w:t>
      </w:r>
    </w:p>
    <w:p>
      <w:r>
        <w:t>FR: GE_GERICHTE JTAPI/1011/2024 du 11 octobre 2024</w:t>
      </w:r>
    </w:p>
    <w:p>
      <w:r>
        <w:t>IT: GE_GERICHTE JTAPI/1011/2024 del 11 ottobre 2024</w:t>
      </w:r>
    </w:p>
    <w:p>
      <w:pPr>
        <w:pStyle w:val="Heading2"/>
      </w:pPr>
      <w:r>
        <w:t>Erwägungen</w:t>
      </w:r>
    </w:p>
    <w:p>
      <w:r>
        <w:rPr>
          <w:b/>
        </w:rPr>
        <w:t>E. 1</w:t>
      </w:r>
    </w:p>
    <w:p>
      <w:r>
        <w:t>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- 8/15 - A/824/2024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6</w:t>
      </w:r>
    </w:p>
    <w:p>
      <w:r>
        <w:t>Selon l’art. 11 LEI, tout étranger qui entend exercer en Suisse une activité lucrative doit être titulaire d’une autorisation, quelle que soit la durée de son séjour ; il doit la solliciter auprès de l’autorité compétente du lieu de travail envisagé (al. 1). Est</w:t>
      </w:r>
    </w:p>
    <w:p>
      <w:r>
        <w:t>- 9/15 - A/824/2024 considérée comme activité lucrative toute activité salariée ou indépendante, qui procure normalement un gain, même si elle est exercée gratuitement (al. 2).</w:t>
      </w:r>
    </w:p>
    <w:p>
      <w:r>
        <w:rPr>
          <w:b/>
        </w:rPr>
        <w:t>E. 7</w:t>
      </w:r>
    </w:p>
    <w:p>
      <w:r>
        <w:t>Lorsqu’un étranger ne possède pas de droit à l’exercice d’une activité lucrative, une décision cantonale préalable concernant le marché du travail est nécessaire pour l’admettre en vue de l’exercice d’une activité lucrative (art. 40 al. 2 LEI).</w:t>
      </w:r>
    </w:p>
    <w:p>
      <w:r>
        <w:rPr>
          <w:b/>
        </w:rPr>
        <w:t>E. 7.1</w:t>
      </w:r>
    </w:p>
    <w:p>
      <w:r>
        <w:t>;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(ATA/184/2022 du 22 février 2022 consid. 8e et les références citées ; Minh Son NGUYEN/Cesla AMARELLE, Code annoté de droit des migrations, vol. 2 : LEtr, 2017, p. 145 s. et les références citées).</w:t>
      </w:r>
    </w:p>
    <w:p>
      <w:r>
        <w:rPr>
          <w:b/>
        </w:rPr>
        <w:t>E. 8</w:t>
      </w:r>
    </w:p>
    <w:p>
      <w:r>
        <w:t>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w:t>
      </w:r>
    </w:p>
    <w:p>
      <w:r>
        <w:rPr>
          <w:b/>
        </w:rPr>
        <w:t>E. 9</w:t>
      </w:r>
    </w:p>
    <w:p>
      <w:r>
        <w:t>La procédure d’obtention d’autorisation est réglée à Genève aux art. 6 al. 1 à 7 du règlement d'application de la loi fédérale sur les étrangers du 9 mars 2009 (RaLEtr - F 2 10.01).</w:t>
      </w:r>
    </w:p>
    <w:p>
      <w:r>
        <w:rPr>
          <w:b/>
        </w:rPr>
        <w:t>E. 10</w:t>
      </w:r>
    </w:p>
    <w:p>
      <w:r>
        <w:t>Selon l'art. 2 al. 1 OASA, qui concrétise l'art. 19 LEI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w:t>
      </w:r>
    </w:p>
    <w:p>
      <w:r>
        <w:rPr>
          <w:b/>
        </w:rPr>
        <w:t>E. 11</w:t>
      </w:r>
    </w:p>
    <w:p>
      <w:r>
        <w:t>La jurisprudence a retenu qu'une personne, seule et unique associée d'une société à responsabilité limitée exerce une activité lucrative indépendante (cf. ATAF C- 7286/2008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w:t>
      </w:r>
    </w:p>
    <w:p>
      <w:r>
        <w:rPr>
          <w:b/>
        </w:rPr>
        <w:t>E. 12</w:t>
      </w:r>
    </w:p>
    <w:p>
      <w:r>
        <w:t>En l'espèce, quand bien même le recourant a signé un contrat de travail avec B______ Sàrl en qualité de directeur, ce qui fait formellement de lui un salarié de cette société et donc, à première vue, une personne exerçant une activité lucrative dépendante, il convient de retenir qu'il exerce en réalité une activité lucrative indépendante. En effet, dès lors qu'il est l’un des associés de cette société, son activité est déployée dans le cadre exclusif de sa propre organisation. De plus, selon ses propres explications, il occupe une fonction dirigeante de l’entreprise.</w:t>
      </w:r>
    </w:p>
    <w:p>
      <w:r>
        <w:t>- 10/15 - A/824/2024 Partant, sa demande doit effectivement être analysée sous l’angle de l’exercice d’une activité lucrative indépendante (art. 19 LEI), ce qui n’est au demeurant pas contesté.</w:t>
      </w:r>
    </w:p>
    <w:p>
      <w:r>
        <w:rPr>
          <w:b/>
        </w:rPr>
        <w:t>E. 13</w:t>
      </w:r>
    </w:p>
    <w:p>
      <w:r>
        <w:t>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Tribunal administratif fédéral F-4755/2018 du 27 janvier 2021 consid. 4.3 in fine). 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w:t>
      </w:r>
    </w:p>
    <w:p>
      <w:r>
        <w:rPr>
          <w:b/>
        </w:rPr>
        <w:t>E. 14</w:t>
      </w:r>
    </w:p>
    <w:p>
      <w:r>
        <w:t>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juin 2024 [ci-après : directives du SEM], ch. 4.3.1, 4.7.2.1 et 4.7.2.2).</w:t>
      </w:r>
    </w:p>
    <w:p>
      <w:r>
        <w:rPr>
          <w:b/>
        </w:rPr>
        <w:t>E. 15</w:t>
      </w:r>
    </w:p>
    <w:p>
      <w:r>
        <w:t>Dans un arrêt du 22 février 2022, la chambre administrative de la Cour de justice (ci-après : chambre administrative) a retenu que les prévisions d’emploi de six personnes à l’horizon 2023 ne pouvaient être considérées comme remplissant la condition de création de places pour la main-d'œuvre locale (ATA/184/2022, consid. 8.g).</w:t>
      </w:r>
    </w:p>
    <w:p>
      <w:r>
        <w:t>- 11/15 - A/824/2024</w:t>
      </w:r>
    </w:p>
    <w:p>
      <w:r>
        <w:rPr>
          <w:b/>
        </w:rPr>
        <w:t>E. 16</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w:t>
      </w:r>
    </w:p>
    <w:p>
      <w:r>
        <w:rPr>
          <w:b/>
        </w:rPr>
        <w:t>E. 17</w:t>
      </w:r>
    </w:p>
    <w:p>
      <w:r>
        <w:t>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séjour avec activité lucrative (Chapitre 4) du 25 octobre 2013, état au 1er juin 2024 (ci-après : directives SEM), ch. 4.3.1; arrêt du Tribunal administratif fédéral F-4226/ 2017 du 8 octobre 2019 consid. 4.5.1 ; ATA/1198/2021 du 9 novembre 2021 consid. 7b).</w:t>
      </w:r>
    </w:p>
    <w:p>
      <w:r>
        <w:rPr>
          <w:b/>
        </w:rPr>
        <w:t>E. 18</w:t>
      </w:r>
    </w:p>
    <w:p>
      <w:r>
        <w:t>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w:t>
      </w:r>
    </w:p>
    <w:p>
      <w:r>
        <w:t>- 12/15 - A/824/2024 investissements prévus, le chiffre d’affaires et le bénéfice escomptés. Les liens organisationnels avec d’autres entreprises sont également à indiquer. L’acte constitutif de l’entreprise et/ou extrait du registre du commerce sont à joindre (directives du SEM, ch. 4.7.2.3).</w:t>
      </w:r>
    </w:p>
    <w:p>
      <w:r>
        <w:rPr>
          <w:b/>
        </w:rPr>
        <w:t>E. 19</w:t>
      </w:r>
    </w:p>
    <w:p>
      <w:r>
        <w:t>L’autorisation doit également s’inscrire dans les limites du contingent fixé par le Conseil fédéral (art. 20 LEI), selon un nombre maximum fixé dans l’annexe 2 OASA, à savoir 91 permis B pour l’année 2024.</w:t>
      </w:r>
    </w:p>
    <w:p>
      <w:r>
        <w:rPr>
          <w:b/>
        </w:rPr>
        <w:t>E. 20</w:t>
      </w:r>
    </w:p>
    <w:p>
      <w:r>
        <w:t>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 recourant étaient insuffisants pour permettre de considérer que l’admission de sa demande servirait les intérêts économiques helvétiques au sens de la loi et de la jurisprudence précitées. En effet, le recourant n'a pas démontré que son activité, telle qu’annoncée dans sa demande et dans les deux Business plans produits - soit la commercialisation d’un soda au café, qui se distinguerait notamment par son goût unique et la prise en compte des préoccupations des consommateurs sur la santé et la responsabilité environnementale - revêtirait une originalité particulière dans le paysage économique genevois et contribuerait ainsi à sa diversification. De même et en l’état du dossier, il n’a pas été démontré par le recourant, qui supporte le fardeau de la preuve, que son projet serait à même de s’inscrire dans un secteur d’activités innovant. S’agissant du partenariat stratégique annoncé avec D______ SA, il sera retenu qu’il ne repose sur aucun élément au dossier. Il en va de même de la prétendue commande d’environ 500'000 canettes par D______ SA annoncée par le recourant, dont l’existence n’a pas été démontrée. Il sera en outre relevé que, dans le cadre de son recours, le recourant a annoncé le début de cette collaboration pour mai 2024. Dès lors que, cinq mois plus tard, le recourant, qui n’a d’ailleurs pas fait usage de la possibilité de répliquer, n’a toujours pas prouvé la véracité d’une telle allégation, celle-ci ne saurait être prise en compte. Par conséquent, faute pour le recourant d’avoir démontré l’existence d’une réelle demande en lien avec le produit qu’il entend proposer, respectivement développer, le tribunal retiendra que celui-ci n’est pas à même de contribuer à la diversification du tissu économique genevois. Dans le même sens, la condition de la création de places de travail ne paraît pas davantage réalisée. Le recourant a indiqué, dans son recours, qu’il souhaitait engager quatre personnes à l’avenir. D’une part, force est de constater qu’il s’agit d’une simple allégation relativement vague, dès lors que l’on ignore les postes concernés, le montant des salaires ou encore le délai dans lequel ces engagements sont prévus. D’autre part et en tout état, comme cela ressort de la jurisprudence</w:t>
      </w:r>
    </w:p>
    <w:p>
      <w:r>
        <w:t>- 13/15 - A/824/2024 précitée, de telles prévisions sont modestes et insuffisantes pour permettre l'octroi d’une autorisation avec activité lucrative indépendante dans le canton de Genève, notamment en raison de l'exiguïté du contingent cantonal. L’on ne saurait donc considérer que l'activité de la société et celle du recourant permettraient la création d'un nombre d'emplois significatif qui aurait des retombées positives et durables sur le marché suisse du travail. Par ailleurs, le recourant n’est pas parvenu à démontrer que les activités déployées permettraient de générer de nouveaux mandats pour l'économie suisse. En effet, aucun contrat, ni même offre ou devis auprès de potentiels clients, n’a été versé au dossier. Pour ce même motif, comme exposé plus haut, les allégations de partenariat avec D______ SA ne sauraient être prises en compte. Il en va de même s’agissant d’éventuels investissements substantiels en Suisse de la part du recourant, dont l’existence n’a pas été démontrée, ni même alléguée. Quant à l’allégué du recourant selon lequel son activité était sur la voie de la rentabilité dans les années à venir avec des signes tangibles de croissance déjà perceptibles, il n'est appuyé par aucune pièce justificative. Il convient encore de relever que les deux Business Plans, produits respectivement en annexe de la requête d’autorisation de travail puis du recours, comportent plusieurs incohérences. Il ressort notamment des constats de l’OCIRT, que le tribunal fait siens, qu’alors que les salariés devaient être au nombre de sept durant les cinq premières années et que leurs salaires devraient augmenter, que les charges du personnel diminueront au contraire au fil des années. A cela s'ajoute que sur le compte de résultats, la projection des impôts est de 0% sans aucune explication, ce qui parait quelque peu surprenant alors que sur le compte de trésorerie de la société, les impôts sont évalués à 16%, ce qui apparaît contradictoire. De plus, selon le nouveau Business plan du 5 mars 2024, les marchandises de production et stock ne figurent plus dans la trésorerie d’investissement. La notion de « marketing &amp; développement des marchés mondiaux » est évasive, le recourant n’ayant pas concrètement spécifié en quoi celle-ci consisterait, si ce n’était en expliquant que les réseaux sociaux seraient le canal de référencement pour la société. Les charges du personnel ont été augmentées pour être proportionnelles au revenu. Le prêt étranger a baissé à CHF 2'500'000.- ; aucun intérêt sur prêt n’est indiqué et l’origine de ce financement n'est pas spécifiée. Dans ces conditions, les Business plans produits par le recourant en annexe de sa requête puis en cours de procédure de recours n’apparaissent pas suffisamment probants pour déterminer, et a fortiori démontrer, l’intérêt économique de sa demande. Au vu de ce qui précède, force est de constater qu'il n'apparaît pas, qu'il résulterait de l'admission de la demande du recourant, des retombées durables positives pour le marché suisse du travail pi que celui-ci en tirerait durablement profit, mais, au</w:t>
      </w:r>
    </w:p>
    <w:p>
      <w:r>
        <w:t>- 14/15 - A/824/2024 contraire, que la délivrance du permis requis servirait en réalité les seuls intérêts privés du recourant et ceux de B______ Sàrl dont il est l'un des associés gérants. En conclusion, il sera retenu que l'admission de la demande du recourant ne sert pas les intérêts économiques de la Suisse contrairement à ce qu'exige l'art. 19 let. a LEI.</w:t>
      </w:r>
    </w:p>
    <w:p>
      <w:r>
        <w:rPr>
          <w:b/>
        </w:rPr>
        <w:t>E. 21</w:t>
      </w:r>
    </w:p>
    <w:p>
      <w:r>
        <w:t>La première condition - cumulative - de l'art. 19 LEI n'étant pas réalisée, il n'est pas nécessaire d'examiner les autres conditions de cette disposition, ni d'ailleurs les autres arguments développés par le recourant, étant rappelé que, compte tenu de l'exiguïté des contingents du canton de Genève, qui se montent, pour rappel, à 91 unités pour l’année 2024, la commission tripartite est en outre contrainte de ne retenir que les demandes qui se démarquent pas un fort intérêt économique, ce qui n'est pas le cas en l'occurrence.</w:t>
      </w:r>
    </w:p>
    <w:p>
      <w:r>
        <w:rPr>
          <w:b/>
        </w:rPr>
        <w:t>E. 22</w:t>
      </w:r>
    </w:p>
    <w:p>
      <w:r>
        <w:t>Au vu de ce qui précède, l'analyse à laquelle a procédé l’OCIRT, qui dispose en la matière d’un large pouvoir d'appréciation, n'apparaît pas inappropriée ni fondée sur des éléments dépourvus de pertinence, négligeant des facteurs décisifs ou guidée par une appréciation insoutenable des circonstances, que ce soit dans son approche ou dans son résultat. L’on ne peut ainsi retenir que cet office aurait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w:t>
      </w:r>
    </w:p>
    <w:p>
      <w:r>
        <w:rPr>
          <w:b/>
        </w:rPr>
        <w:t>E. 23</w:t>
      </w:r>
    </w:p>
    <w:p>
      <w:r>
        <w:t>En conclusion, mal 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- 15/15 - A/824/2024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