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JTAPI/1010/2023 vom 19. September 2023</w:t>
      </w:r>
    </w:p>
    <w:p>
      <w:r>
        <w:t>GE Cour de justice, 2023-09-19, FR</w:t>
      </w:r>
    </w:p>
    <w:p>
      <w:r>
        <w:rPr>
          <w:b/>
        </w:rPr>
        <w:t xml:space="preserve">Quelle: </w:t>
      </w:r>
      <w:r>
        <w:t>https://mcp.opencaselaw.ch/entscheid/ge_gerichte_JTAPI_1010_2023</w:t>
      </w:r>
    </w:p>
    <w:p>
      <w:r>
        <w:t>FR: GE_GERICHTE JTAPI/1010/2023 du 19 septembre 2023</w:t>
      </w:r>
    </w:p>
    <w:p>
      <w:r>
        <w:t>IT: GE_GERICHTE JTAPI/1010/2023 del 19 settembre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LPA, le recours peut être formé pour violation du droit, y compris l’excès et l’abus du pouvoir d’appréciation (al. 1 let. a), ou pour constatation inexacte ou incomplète des faits pertinents (al. 1 let. b). En revanche, les juridictions administratives n’ont pas compétence pour apprécier l’opportunité de la décision attaquée, sauf exception prévue par la loi (al. 2), non réalisée dans le cas d’espèce.</w:t>
      </w:r>
    </w:p>
    <w:p>
      <w:r>
        <w:rPr>
          <w:b/>
        </w:rPr>
        <w:t>E. 4</w:t>
      </w:r>
    </w:p>
    <w:p>
      <w:r>
        <w:t>La recourante prétend que son droit d'être entendu aurait été violé.</w:t>
      </w:r>
    </w:p>
    <w:p>
      <w:r>
        <w:rPr>
          <w:b/>
        </w:rPr>
        <w:t>E. 5</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w:t>
      </w:r>
    </w:p>
    <w:p>
      <w:r>
        <w:t>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w:t>
      </w:r>
    </w:p>
    <w:p>
      <w:r>
        <w:t>Le droit d’être entendu est concrétisé à l’art. 41 LPA, selon lequel les parties ont le droit d’être entendues par l’autorité compétente avant que ne soit prise une décision; elles ne peuvent toutefois prétendre à une audition verbale sauf dispositions légales contraires.</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w:t>
      </w:r>
    </w:p>
    <w:p>
      <w:r>
        <w:t>- 12/16 - A/396/2023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 Le droit d’être entendu implique également pour l’autorité l’obligation de motiver sa décision. Selon la jurisprudence constante,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arrêts du Tribunal fédéral 6B_762/2020 du 17 mars 2021 consid. 2.1 ; 1C_415/ 2019 du 27 mars 2020 consid. 2.1 ; ATA/447/2021 du 27 avril 2021 consid. 6b).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w:t>
      </w:r>
    </w:p>
    <w:p>
      <w:r>
        <w:rPr>
          <w:b/>
        </w:rPr>
        <w:t>E. 6</w:t>
      </w:r>
    </w:p>
    <w:p>
      <w:r>
        <w:t>Si les règles de procédure administrative sont violées, la décision est viciée formellement, ce qui constitue en principe un motif d'annulation de la décision, indépendamment de la question de savoir si, matériellement, cette décision est conforme au droit (Thierry TANQUEREL, Manuel de droit administratif, 2e éd., 2018 N 883 et les références citées).</w:t>
      </w:r>
    </w:p>
    <w:p>
      <w:r>
        <w:t>- 13/16 - A/396/2023</w:t>
      </w:r>
    </w:p>
    <w:p>
      <w:r>
        <w:rPr>
          <w:b/>
        </w:rPr>
        <w:t>E. 7</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8</w:t>
      </w:r>
    </w:p>
    <w:p>
      <w:r>
        <w:t>Selon l'art. 6 LCI, la direction des travaux dont l'exécution est soumise à autorisation de construire doit être assurée par un mandataire inscrit au tableau des MPQ, dont les capacités professionnelles correspondent à la nature de l'ouvrage (al. 1). Le mandataire commis à la direction des travaux en répond à l'égard de l'autorité jusqu'à réception de l'avis d'extinction de son mandat (al. 2). Conformément à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 La responsabilité du mandant ne saurait être dissociée de celle de son mandataire. En effet, le premier est responsable des actes de celui qui le représente et répond de toute faute de ses auxiliaires (ATA/370/2015 du 21 avril 2015 consid. 6b ; ATA/140/2015 du 3 février 2015 et les références citées).</w:t>
      </w:r>
    </w:p>
    <w:p>
      <w:r>
        <w:rPr>
          <w:b/>
        </w:rPr>
        <w:t>E. 9</w:t>
      </w:r>
    </w:p>
    <w:p>
      <w:r>
        <w:t>En l'espèce, il ressort des éléments du dossier que M. D______ a été annoncé au département le 26 janvier 2021 en tant que nouveau MPQ responsable du projet, de sorte que depuis cette date, il est ainsi soumis aux obligations lui incombant au sens de l’art. 6 LCI et est l'interlocuteur principal du département, jusqu'à réception de l'avis d'extinction de son mandat. Il était donc légitime que le département le contacte pour s'enquérir de l'avancement des travaux relatif à la DD 2______, tel qu'il l'a fait par téléphone le 20 décembre 2022. En revanche, le contrôle sur place du 20 décembre 2022, à la suite de cette conversation téléphonique, s'est tenu hors de la présence de la recourante ou de l'un de ses représentants, notamment le MPQ, ainsi que cela ressort des explications de la recourante, qui n'ont pas été contredites par l'autorité intimée. Il s'agit là d'une grave entorse à l'art. 42 al. 1 LPA, qui garantit le droit des parties, aussi bien en procédure contentieuse que non contentieuse, de participer à</w:t>
      </w:r>
    </w:p>
    <w:p>
      <w:r>
        <w:t>- 14/16 - A/396/2023 l'administration des preuves, notamment lors des examens auxquels procède l'autorité. Par ailleurs, la décision querellée a été prononcée deux jours après le contrôle sur place, alors qu'à teneur des éléments du dossier, notamment du courrier du MPQ du 21 décembre 2022, transmis par courriel le 22 décembre 2022 au département, ainsi que de l'échange d'écritures, il a vraisemblablement été demandé au MPQ de fournir des informations complémentaires sur l'avancement des travaux à l'issue de l'entretien téléphonique, sans toutefois qu'aucune des parties ne relate précisément le contenu de cette conversation téléphonique. Il est ainsi vraisemblable d'admettre que, vu la chronologie des faits, les explications complémentaires du MPQ n'ont pas été prises en considération par le département. Même si certes la recourante et son MPQ ne pouvaient raisonnablement ignorer que l'ensemble des travaux n'avaient pas été réalisés dans le délai imparti au 25 novembre 2022, rien ne leur permettait de penser qu'une nouvelle sanction serait prononcée immédiatement à la suite de la seule conversation téléphonique entre le MPQ et le département. Ce n'est qu'à l'occasion du prononcé de la décision querellée que la recourante et son MPQ ont appris la tenue du contrôle du 20 décembre 2022, ce d'autant qu'aucun élément du dossier ne relate les constatations faites par le département lors du contrôle sur place du 20 décembre 2022, hormis l'appréciation très générale et vague de l'inspecteur exprimée dans la décision querellée. En effet, sous l'angle de sa motivation, la décision querellée retient que la situation n'a « aucunement évolué s'agissant notamment du 6ème étage, des extérieurs de l'attique ainsi que de l'intérieur d'au moins un des appartements de l'attique côté n° 27 », alors que d'après le courrier daté du 21 décembre du MPQ et le jeu de photographies joints, le chantier a manifestement repris en juin 2022 et des travaux ont eu lieu à ce niveau. Ainsi, nonobstant le fait que les travaux n'étaient pas achevés en totalité au moment du prononcé de la décision querellée – ce que la recourante admet au demeurant – le département n'a pas exposé clairement en quoi les travaux n'avaient à ce point « aucunement évolué » à ses yeux, se contentant d'affirmations générales, et n'a notamment pas indiqué dans la décision entreprise en quoi les informations qu'il a reçues de la part du MPQ lors de l'entretien téléphonique du 20 décembre 2022 s'avéraient incorrectes. Compte tenu de ce qui précède, le tribunal ne peut que constater qu'il est ainsi manifeste que la décision litigieuse a été rendue sans que le département n'ait formellement offert à la recourante la possibilité de s'exprimer notamment au sujet des constatations de l'inspecteur et de les confronter, et ce indépendamment du fait que la totalité des travaux n'aurait pas été réalisée. Cette manière de faire viole gravement le droit d'être entendue de la recourante et cette violation ne saurait être réparée par le tribunal de céans.</w:t>
      </w:r>
    </w:p>
    <w:p>
      <w:r>
        <w:t>La constatation de ce vice suffit ainsi à justifier l'annulation de la décision querellée, indépendamment des chances de succès au fond s'agissant de la contestation de l'amende administrative. Dans cette mesure, il n'y a pas lieu de se pencher en l'état sur les arguments développés par la recourante au sujet de la</w:t>
      </w:r>
    </w:p>
    <w:p>
      <w:r>
        <w:t>- 15/16 - A/396/2023 prétendue nullité de la décision du 13 mai 2022 ou sur la proportionnalité de l'amende. Partant, le recours sera admis et la décision querellée annulée, le dossier étant renvoyé à l'autorité intimée afin qu'elle procède cette fois aux constatations nécessaires en coordination avec la recourante, puis prononce cas échéant une sanction après avoir exposé au préalable les raisons qui l'y conduiraient et donné à la recourante l'occasion de s'exprimer à ce sujet.</w:t>
      </w:r>
    </w:p>
    <w:p>
      <w:r>
        <w:rPr>
          <w:b/>
        </w:rPr>
        <w:t>E. 10</w:t>
      </w:r>
    </w:p>
    <w:p>
      <w:r>
        <w:t>En application des art. 87 al. 1 LPA et 1 et 2 du règlement sur les frais, émoluments et indemnités en procédure administrative du 30 juillet 1986 (RFPA – E 5 10.03), la recourante, qui obtienne gain de cause, est exonérée de tout émolument. Son avance de frais de CHF 900.- lui sera restituée.</w:t>
      </w:r>
    </w:p>
    <w:p>
      <w:r>
        <w:rPr>
          <w:b/>
        </w:rPr>
        <w:t>E. 11</w:t>
      </w:r>
    </w:p>
    <w:p>
      <w:r>
        <w:t>Vu l'issue du litige, une indemnité de procédure de CHF 1'500.-, à la charge de l'État de Genève, soit pour lui le département du territoire, sera allouée à la recourante (art. 87 al. 2 à 4 LPA et 6 RFPA).</w:t>
      </w:r>
    </w:p>
    <w:p>
      <w:r>
        <w:t>- 16/16 - A/396/2023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