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JTAPI/100/2023 vom 25. Januar 2023</w:t>
      </w:r>
    </w:p>
    <w:p>
      <w:r>
        <w:t>GE Cour de justice, 2023-01-25, FR</w:t>
      </w:r>
    </w:p>
    <w:p>
      <w:r>
        <w:rPr>
          <w:b/>
        </w:rPr>
        <w:t xml:space="preserve">Quelle: </w:t>
      </w:r>
      <w:r>
        <w:t>https://mcp.opencaselaw.ch/entscheid/ge_gerichte_JTAPI_100_2023</w:t>
      </w:r>
    </w:p>
    <w:p>
      <w:r>
        <w:t>FR: GE_GERICHTE JTAPI/100/2023 du 25 janvier 2023</w:t>
      </w:r>
    </w:p>
    <w:p>
      <w:r>
        <w:t>IT: GE_GERICHTE JTAPI/100/2023 del 25 gennaio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w:t>
      </w:r>
    </w:p>
    <w:p>
      <w:r>
        <w:t>- 20/30 - A/963/2021 consid. 3.4 et 4.2 ; arrêt du Tribunal fédéral 2C_581/2010 du 28 mars 2011 consid. 1.5 ; ATA/1218/2017 du 22 août 2017 consid. 3b et l'arrêt cité). La contestation ne peut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5</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w:t>
      </w:r>
    </w:p>
    <w:p>
      <w:r>
        <w:rPr>
          <w:b/>
        </w:rPr>
        <w:t>E. 6</w:t>
      </w:r>
    </w:p>
    <w:p>
      <w:r>
        <w:t>La démolition et l'évacuation des piliers et murets en maçonnerie ainsi que la suppression du rail de l'ancien portail, situés au Sud de la parcelle le long de la route de H______. Au surplus, le portail métallique ainsi que les clôtures grillagées réalisés en lieu et place de l'ancien portail, installés au centre de la parcelle sur la limite avec le Sud de la parcelle voisine n° 5______, sont également à évacuer ;</w:t>
      </w:r>
    </w:p>
    <w:p>
      <w:r>
        <w:rPr>
          <w:b/>
        </w:rPr>
        <w:t>E. 7</w:t>
      </w:r>
    </w:p>
    <w:p>
      <w:r>
        <w:t>L'évacuation du bateau, stocké au Sud de la parcelle Si, conformément à votre courrier du 11 janvier 2021, celui-ci n'est plus entreposé sur la parcelle, le reportage photographique attestant des remises en état ordonnées permettra de le confirmer ;</w:t>
      </w:r>
    </w:p>
    <w:p>
      <w:r>
        <w:rPr>
          <w:b/>
        </w:rPr>
        <w:t>E. 8</w:t>
      </w:r>
    </w:p>
    <w:p>
      <w:r>
        <w:t>La suppression et l'évacuation du système de protection ainsi que du chauffage géothermique (initialement assimilé à un bassin), réalisés au Sud de la parcelle vers la limite de propriété avec la parcelle n° 5______ ;</w:t>
      </w:r>
    </w:p>
    <w:p>
      <w:r>
        <w:rPr>
          <w:b/>
        </w:rPr>
        <w:t>E. 9</w:t>
      </w:r>
    </w:p>
    <w:p>
      <w:r>
        <w:t>La suppression et l'évacuation de l'ensemble des clôtures grillagées (y compris supports et murets), installées en périphérie de la parcelle ;</w:t>
      </w:r>
    </w:p>
    <w:p>
      <w:r>
        <w:rPr>
          <w:b/>
        </w:rPr>
        <w:t>E. 10</w:t>
      </w:r>
    </w:p>
    <w:p>
      <w:r>
        <w:t>Selon l'art. 22 al. 1 de la loi fédérale sur l'aménagement du territoire du 22 juin 1979 (LAT - RS 700), aucune construction ou installation ne peut être créée ou transformée sans autorisation de l'autorité compétente.</w:t>
      </w:r>
    </w:p>
    <w:p>
      <w:r>
        <w:rPr>
          <w:b/>
        </w:rPr>
        <w:t>E. 11</w:t>
      </w:r>
    </w:p>
    <w:p>
      <w:r>
        <w:t>L'art. 1 al. 1 LCI prévoit que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w:t>
      </w:r>
    </w:p>
    <w:p>
      <w:r>
        <w:rPr>
          <w:b/>
        </w:rPr>
        <w:t>E. 12</w:t>
      </w:r>
    </w:p>
    <w:p>
      <w:r>
        <w:t>Aucun travail ne doit être entrepris avant que l'autorisation n'ait été délivrée (art. 1 al. 7 1ère phrase LCI).</w:t>
      </w:r>
    </w:p>
    <w:p>
      <w:r>
        <w:rPr>
          <w:b/>
        </w:rPr>
        <w:t>E. 13</w:t>
      </w:r>
    </w:p>
    <w:p>
      <w:r>
        <w:t>L'art. 1 al. 1 du règlement d'application de la loi sur les constructions et installations diverses du 27 février 1978 (RCI - L 5 05 01) précise que sont réputées constructions ou installations toutes choses immobilières ou mobilières édifiées au-dessus ou au-dessous du sol ainsi que toutes leurs parties intégrantes et accessoires, soit notamment, les murs, clôtures, portails, poulaillers, clapiers, chenils (let. b).</w:t>
      </w:r>
    </w:p>
    <w:p>
      <w:r>
        <w:t>- 24/30 - A/963/2021</w:t>
      </w:r>
    </w:p>
    <w:p>
      <w:r>
        <w:rPr>
          <w:b/>
        </w:rPr>
        <w:t>E. 14</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15</w:t>
      </w:r>
    </w:p>
    <w:p>
      <w:r>
        <w:t>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(cf. ATA/1599/2019 du 29 octobre 2019 consid. 8b ; ATA/213/2018 du 6 mars 2018 consid. 11 ; ATA/1411/2017 du 17 octobre 2017 consid. 4a et les références citées).</w:t>
      </w:r>
    </w:p>
    <w:p>
      <w:r>
        <w:rPr>
          <w:b/>
        </w:rPr>
        <w:t>E. 16</w:t>
      </w:r>
    </w:p>
    <w:p>
      <w:r>
        <w:t>Des constructions ou aménagements formellement non autorisés doivent en principe être démolis s'ils ne peuvent pas être légalisés a posteriori (cf. ATF 136 II 359 consid. 6), surtout lorsqu’ils sont réalisés en dehors de la zone à bâtir car le principe de la séparation de l'espace bâti et non bâti, qui préserve différents intérêts publics, est de rang constitutionnel et fait partie intégrante de la notion d'utilisation mesurée du sol de l'art. 75 al. 1 Cst. (cf. Message du Conseil fédéral du 20 janvier 2010 relatif à une révision partielle de la LAT, FF 2010 964 ch. 1.2.1 et 973 ch. 2.1 ; arrêt du Tribunal fédéral 1C_76/2019 du 28 février 2020 consid. 7.1 et les références citées). Cette séparation doit par conséquent, en dehors des exceptions prévues par la loi, demeurer d'application stricte (ATF 132 II 21 consid. 6.4 ; arrêt du Tribunal fédéral 1A.301/2000 du 28 mai 2001 consid. 6c) et l'ordre de démolir une construction ou un ouvrage édifié sans permis et pour lequel une autorisation ne pouvait être accordée n'est en principe pas contraire au principe de la proportionnalité. Si des constructions illégales sont indéfiniment tolérées, ce principe de séparation est remis en question et un comportement contraire au droit s'en trouve récompensé (arrêt du Tribunal fédéral 1C_76/2019 du 28 février 2020 consid. 7.1), alors que celui qui place l'autorité devant un fait accompli doit au contraire s'attendre à ce que celle-ci se préoccupe plus de rétablir une situation conforme au droit que d'éviter les inconvénients qui en découlent</w:t>
      </w:r>
    </w:p>
    <w:p>
      <w:r>
        <w:t>- 25/30 - A/963/2021 pour lui (ATF 123 II 248 consid. 4a et les références ; arrêts du Tribunal fédéral 1C_60/2021 du 27 juillet 2021 consid. 3.1). S'ajoute à cela que la remise en état poursuit encore d'autres intérêts publics, à savoir la limitation du nombre et des dimensions des constructions en zone agricole (cf. ATF 132 II 21 consid. 6.4 ; ATF 111 Ib 213 consid. 6b ; arrêt du Tribunal fédéral 1A.301/2000 du 28 mai 2001 consid. 6c) ainsi que le respect du principe de l'égalité devant la loi (arrêt du Tribunal fédéral 1C_276/2016 du 2 juin 2017 consid. 3.3).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(arrêts du Tribunal fédéral 1C_60/2021 du 27 juillet 2021 consid. 3.2.1 ; 1C_469/2019 consid. 5.5 et 5.6).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 Elle peut renoncer à un ordre de démolition, conformément au principe de la proportionnalité,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1C_544/2014 du 1er avril 2015 consid. 4.2]), si celui-ci pouvait de bonne foi se croire autorisé à construire ou encore s'il y a des chances sérieuses de faire reconnaître la construction comme conforme au droit (cf. ATF 132 II 21 consid. 6 ; ATF 123 II 248 consid. 3a/bb ; arrêt du Tribunal fédéral 1C_60/2021 du 27 juillet 2021 consid. 3.1 ; ATA/1399/2019 du 17 septembre 2019 consid. 3c). Sous l'angle de la proportionnalité, on peut prendre en compte le fait que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w:t>
      </w:r>
    </w:p>
    <w:p>
      <w:r>
        <w:t>- 26/30 - A/963/2021 fédéral de 2010 à 2016, VLP-ASPAN, Février 1/2018, p. 16 et les références citées). Le Tribunal fédéral est particulièrement strict en zone agricole et a ainsi confirmé les ordres de démolition ou d'enlèvement des constructions ou installations suivantes érigées sans autorisation : une palissade en bois, un mobil-home,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Concernant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précité consid. 12). Elle a également confirmé l’ordre d’évacuer une cabane de chantier et un container métallique (ATA/34/2014 du 21 janvier 2014 consid. 11).</w:t>
      </w:r>
    </w:p>
    <w:p>
      <w:r>
        <w:rPr>
          <w:b/>
        </w:rPr>
        <w:t>E. 17</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18</w:t>
      </w:r>
    </w:p>
    <w:p>
      <w:r>
        <w:t>Selon la jurisprudence, le perturbateur est celui qui a occasionné un dommage ou un danger par lui-même ou par le comportement d'un tiers relevant de sa</w:t>
      </w:r>
    </w:p>
    <w:p>
      <w:r>
        <w:t>- 27/30 - A/963/2021 responsabilité (perturbateur par comportement), mais aussi celui qui exerce sur l'objet qui a provoqué une telle situation un pouvoir de fait ou de droit (perturbateur par situation ; ATF 139 II 185 consid. 14.3.2 ; 136 I 1 consid. 4.4.3 ; 122 II 65 consid. 6a ; ATA/70/2018 du 23 janvier 2018 consid. 7d et les arrêts cités).</w:t>
      </w:r>
    </w:p>
    <w:p>
      <w:r>
        <w:rPr>
          <w:b/>
        </w:rPr>
        <w:t>E. 19</w:t>
      </w:r>
    </w:p>
    <w:p>
      <w:r>
        <w:t>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 JdT 1983 I 290).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une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 ATA/1334/2019 du 3 septembre 2019 consid. 2b et l'arrêt cité).</w:t>
      </w:r>
    </w:p>
    <w:p>
      <w:r>
        <w:rPr>
          <w:b/>
        </w:rPr>
        <w:t>E. 20</w:t>
      </w:r>
    </w:p>
    <w:p>
      <w:r>
        <w:t>En l’espèce, le recourant disposait, depuis 2008, d’une servitude de passage et d’usage de dix ans sur la parcelle n° 1______ visée par la décision querellée, sur laquelle il a installé et exploité sa société B______ Sàrl. Il a cessé son activité et quitté la parcelle le 31 mars 2021. Il était ainsi perturbateur tant par comportement que par situation durant la période considérée. S’agissant des installations et constructions litigieuses, il n’est pas contesté qu’elles ont été réalisées sans droit et qu’elles ne sont, par ailleurs, pas conforme à la zone agricole, ni au demeurant à la zone de bois et forêts. La question de la prescription trentenaire, s’agissant en particulier des piliers en maçonnerie se trouvant à l'entrée du no 3______, avenue de E______ et en bordure de cette avenue qui auraient été mis en place depuis les années 60 - sans toutefois que cela ni le fait qu’ils auraient alors été autorisés ne soient cependant démontrés -, ne se pose pas en l’espèce, ne s’appliquant pas en zone agricole. Il n’apparaît pour le surplus pas que l’autorité aurait suscité d’une quelconque façon des expectatives qu’il se justifierait de protéger sous l’angle de la bonne foi. A teneur du dossier, des constructions, installations et aménagements visés par la décision querellée,</w:t>
      </w:r>
    </w:p>
    <w:p>
      <w:r>
        <w:t>- 28/30 - A/963/2021 seule la serre, bâtiment n° 6______ (façades, toiture et sol naturel), a en effet été autorisée, selon les plans visés NE VARIETUR de la DD 12_____ du 11 avril 1967. De plus, lorsqu’il a reçu des signalements concernant la parcelle n° 1______, le département a immédiatement réagi en effectuant des contrôles et en interpellant le recourant et la propriétaire. En relation avec sa responsabilité, le recourant invoque que plusieurs des installations concernées existeraient depuis de nombreuses années, à savoir : la serre (façade et toiture comprise), les piliers et murets en maçonnerie et l'ancien portail à l'entrée du n° 3______ (chiffres 1 et 6) et que les quelques modifications qu’il avait entreprises avaient toujours été préalablement avalisées et/ou ordonnées par le propriétaire de la parcelle, en raison du fait que lesdites installations servaient principalement ses intérêts. S’agissant de la serre (chiffre 1), pour rappel, le département ne conteste pas son existence, en tant qu’elle a été autorisée, mais exige uniquement sa remise en état conformément à l’autorisation délivrée. Or, à cet égard, il n’est pas contesté que l’ensemble des travaux non autorisés la concernant ont été réalisés par le recourant, perturbateur par comportement et situation (entre 2008 et 2018). Le département pouvait dès lors, en application de la jurisprudence rappelée ci-dessus, parfaitement exiger de ce dernier la remise en état. Il n’en va pas différemment de l’ensemble des objets visés sous chiffres 2, 6, 8, 9 et 10, à l’exception toutefois des piliers et murets en maçonnerie et de l'ancien portail à l'entrée du n° 3______ avenue de E______ - dont il est admis qu’ils existaient avant l’arrivée du recourant sur la parcelle -, du système de protection ainsi que du chauffage géothermique (initialement assimilé à un bassin) déjà enlevés par la propriétaire, ce qu’il lui appartiendra toutefois de démontrer. Il n’apparait enfin pas que la mise en œuvre de la décision engendrera des difficultés particulières, notamment financières et logistiques. Sur ce dernier point, la propriétaire a d’ailleurs expressément autorisé le recourant et/ou les entreprises qu’il pourrait mandater, à pénétrer sur sa parcelle. L’ordre de remise en état apparaît donc proportionné, étant rappelé qu’il convient de se montrer strict en zone agricole et que l'intérêt public au rétablissement d'une situation conforme au droit doit l'emporter sur l'intérêt privé de l'intéressé au maintien des installations litigieuses.</w:t>
      </w:r>
    </w:p>
    <w:p>
      <w:r>
        <w:rPr>
          <w:b/>
        </w:rPr>
        <w:t>E. 21</w:t>
      </w:r>
    </w:p>
    <w:p>
      <w:r>
        <w:t>Au vu de ce qui précède, la décision du 5 février 2021 sera confirmée, dans le sens des considérants. Elle sera annulée dans la seule mesure où elle ordonne au recourant la démolition et l'évacuation des piliers et murets en maçonnerie et de l'ancien portail à l'entrée du n° 3______ avenue de E______ (chiffre 6). A toutes fins utiles, il sera rappelé au recourant que la décision querellée est également confirmée en tant qu’elle lui ordonne de faire parvenir au département un reportage photographique ou tout autre élément attestant de manière univoque de cette mise en conformité, ordre qu’il n’a, à ce jour, pas ou que partiellement</w:t>
      </w:r>
    </w:p>
    <w:p>
      <w:r>
        <w:t>- 29/30 - A/963/2021 respecté. Partant, si le recourant devait avoir, entre-temps, réalisé d’autres remises en état que celles retenues par le tribunal, il lui appartiendra encore de le démontrer.</w:t>
      </w:r>
    </w:p>
    <w:p>
      <w:r>
        <w:rPr>
          <w:b/>
        </w:rPr>
        <w:t>E. 22</w:t>
      </w:r>
    </w:p>
    <w:p>
      <w:r>
        <w:t>Le recours sera ainsi très partiellement admis.</w:t>
      </w:r>
    </w:p>
    <w:p>
      <w:r>
        <w:rPr>
          <w:b/>
        </w:rPr>
        <w:t>E. 23</w:t>
      </w:r>
    </w:p>
    <w:p>
      <w:r>
        <w:t>En application des art. 87 al. 1 LPA et 1 et 2 du règlement sur les frais, émoluments et indemnités en procédure administrative du 30 juillet 1986 (RFPA - E 5 10.03), le recourant, qui succombe pour l’essentiel, est condamné au paiement d’un émolument s'élevant à CHF 1’500.- ; il est partiellement couvert par l’avance de frais versée à la suite du dépôt du recours.</w:t>
      </w:r>
    </w:p>
    <w:p>
      <w:r>
        <w:rPr>
          <w:b/>
        </w:rPr>
        <w:t>E. 24</w:t>
      </w:r>
    </w:p>
    <w:p>
      <w:r>
        <w:t>Vu l’issue du litige, aucune indemnité de procédure ne sera allouée (art. 87 al. 2 LPA).</w:t>
      </w:r>
    </w:p>
    <w:p>
      <w:r>
        <w:t>- 30/30 - A/963/2021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