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JTAPI/1001/2021 vom 4. Oktober 2021</w:t>
      </w:r>
    </w:p>
    <w:p>
      <w:r>
        <w:t>GE Cour de justice, 2021-10-04, FR</w:t>
      </w:r>
    </w:p>
    <w:p>
      <w:r>
        <w:rPr>
          <w:b/>
        </w:rPr>
        <w:t xml:space="preserve">Quelle: </w:t>
      </w:r>
      <w:r>
        <w:t>https://mcp.opencaselaw.ch/entscheid/ge_gerichte_JTAPI_1001_2021</w:t>
      </w:r>
    </w:p>
    <w:p>
      <w:r>
        <w:t>FR: GE_GERICHTE JTAPI/1001/2021 du 4 octobre 2021</w:t>
      </w:r>
    </w:p>
    <w:p>
      <w:r>
        <w:t>IT: GE_GERICHTE JTAPI/1001/2021 del 4 ottobre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59 al. 1 LPFisc).</w:t>
      </w:r>
    </w:p>
    <w:p>
      <w:r>
        <w:rPr>
          <w:b/>
        </w:rPr>
        <w:t>E. 4</w:t>
      </w:r>
    </w:p>
    <w:p>
      <w:r>
        <w:t>Les art. 29 LIFD et 30 let. e de la loi sur l'imposition des personnes physiques du 27 septembre 2009 (LIPP - D 3 08) règlent la question des provisions qui peuvent être constituées à la charge du compte de résultat des contribuables exerçant une activité lucrative indépendante. En particulier, une provision peut être constituée pour les engagements de l’exercice dont le montant est encore indéterminé (art. 29 let. a LIFD ; art. 30 let. e ch. 1 LIPP). Les provisions qui ne se justifient plus sont ajoutées au revenu commercial imposable (art. 29 al. 2 LIFD ; art. 30 let. e ch. 3 2ème phr. LIPP).</w:t>
      </w:r>
    </w:p>
    <w:p>
      <w:r>
        <w:rPr>
          <w:b/>
        </w:rPr>
        <w:t>E. 5</w:t>
      </w:r>
    </w:p>
    <w:p>
      <w:r>
        <w:t>Le texte de l’art. 29 LIFD sur les provisions se retrouve à l’art. 63 LIFD. Ce parallélisme découle du fait qu’en droit fiscal suisse le résultat de l’entreprise est calculé de la même manière, qu’elle soit exploitée par des personnes physiques ou morales (Yves NOËL in Yves NOËL, Florence AUBRY GIRARDIN, Commentaire romand de la loi fédérale sur l'impôt fédéral direct, 2ème édition, 2017, art. 28-31, § 1, p. 653).</w:t>
      </w:r>
    </w:p>
    <w:p>
      <w:r>
        <w:rPr>
          <w:b/>
        </w:rPr>
        <w:t>E. 6</w:t>
      </w:r>
    </w:p>
    <w:p>
      <w:r>
        <w:t>Pour être admise, la provision doit être justifiée par l’usage commercial et, conformément au principe de périodicité, porter sur des faits dont l’origine se déroule durant la période de calcul (ATF 137 II 353 consid. 6.1).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et concret (arrêt du Tribunal fédéral 2C_392/2009 du 23 août 2010 consid. 2.3).</w:t>
      </w:r>
    </w:p>
    <w:p>
      <w:r>
        <w:t>- 9/14 - A/759/2021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(ATA/1238/2015 du 17 novembre 2015 consid. 3d ; ATA/520/2014 du 1er juillet 2014 et les références citées).</w:t>
      </w:r>
    </w:p>
    <w:p>
      <w:r>
        <w:rPr>
          <w:b/>
        </w:rPr>
        <w:t>E. 7</w:t>
      </w:r>
    </w:p>
    <w:p>
      <w:r>
        <w:t>Selon le principe de déterminance,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w:t>
      </w:r>
    </w:p>
    <w:p>
      <w:r>
        <w:t>Le principe de déterminance déploie aussi un effet contraignant pour le contribuable. En effet, celui-ci est lié par son mode de comptabilisation et seules les écritures ressortant des comptes sont décisives (Robert DANON, in Yves NOËL, Florence AUBRY GIRARDIN, op. cit., art. 57-58 LIFD, § 74, p. 1074).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Goodwill et acquisitions d'entreprises - Une analyse sous l'angle du droit fiscal et comptable, in Droit des sociétés : mélanges en l'honneur de Roland RUEDIN, 2006, 421-445, p. 430). Il découle du principe de déterminance que les provisions doivent être comptabilisées dans le bilan commercial avec une indication correcte et mentionnées ouvertement (arrêt du Tribunal fédéral du 12 octobre 2012 = StE 2012 B 72.14.1 n° 27 consid. 2.2 ; arrêt du Tribunal fédéral du 25 janvier 2002 = StE 2002 B 23.45.2 n° 2 consid. 3). L'obligation de comptabiliser et donc de désigner les différentes provisions exclut une requalification ultérieure en une autre provision (arrêts du Tribunal administratif du canton de Zurich, SB.2011.00070 du 7 décembre 2011 consid. 3.4 = StE 2012 B 72.14.2 n° 38 ; arrêt du 15 janvier 1986 = StE 1987 B 23.43.2 n° 4 consid. 2c).</w:t>
      </w:r>
    </w:p>
    <w:p>
      <w:r>
        <w:rPr>
          <w:b/>
        </w:rPr>
        <w:t>E. 8</w:t>
      </w:r>
    </w:p>
    <w:p>
      <w:r>
        <w:t>Selon la jurisprudence (arrêt du Tribunal fédéral 2A.90/2001 du 25 janvier 2002 consid. 5.1 = RDAF 2002 II 315), en principe, le détenteur d'un commerce peut aussi constituer des provisions pour des prétentions de tiers en réparation de dommages, pour autant que les activités dommageables à la base des prétentions soient en connexité directe avec son activité commerciale. La doctrine nie une telle connexité en matière de responsabilité pénale, en présence d'une négligence</w:t>
      </w:r>
    </w:p>
    <w:p>
      <w:r>
        <w:t>- 10/14 - A/759/2021 grave voire d'une intention. Dans ces formes de culpabilité, le dommage serait le résultat de « manquements personnels » du commerçant et n'aurait aucun lien avec les risques de la prestation fournie dans le cadre de l'exploitation commerciale. Le Tribunal fédéral a tranché de manière semblable le 23 juin 1994 (Archives 64 p. 232 ss.) : il a alors considéré qu'une prestation en dommages-intérêts vaut comme dépense d'acquisition lorsqu'elle est en connexité étroite avec les risques commerciaux résultant de l'activité professionnelle. Un tel lien présuppose toutefois que le risque d'être tenu à réparation d'un dommage soit lié à l'activité lucrative de manière si étroite que sa prise en compte s'impose lorsque s'exerce cette activité et qu'il apparaisse ainsi comme un effet secondaire difficilement évitable.</w:t>
      </w:r>
    </w:p>
    <w:p>
      <w:r>
        <w:rPr>
          <w:b/>
        </w:rPr>
        <w:t>E. 9</w:t>
      </w:r>
    </w:p>
    <w:p>
      <w:r>
        <w:t>En l’espèce, le recourant conteste la dissolution en 2011 de la provision, opérée par l’AFC-GE. Il se prévaut de la note du réviseur établie dans le cadre du bouclement de l’exercice 2011, mentionnant que la provision « C______ » doit être dissoute et qu’une nouvelle provision relative à l’affaire « F______ » doit être constituée, pour un montant équivalent. Le contribuable fait en outre valoir que le risque lié à l’affaire « F______ » a pris fin au plus tôt le 7 août 2015, lors du classement par le Ministère public de la plainte pénale des héritiers. Par ailleurs, ce risque était chiffré, car il ressort de l’arrêt de la chambre pénale de recours du 24 juin 2020 que le montant allégué par les héritiers, soustrait de la masse successorale, oscille entre CHF 10 millions et CHF 15 millions. L’autorité intimée ne partage pas son point de vue. Elle relève que la note du réviseur ne lui a été transmise qu’au cours de la procédure de rappel et de soustraction d’impôt. En outre, la provision « F______ » n’a pas été comptabilisée et, même si telle avait été le cas, elle n’aurait pas été justifiée commercialement, car elle avait été constituée en vue de couvrir des dommages-intérêts découlant d’infractions commise par le précité.</w:t>
      </w:r>
    </w:p>
    <w:p>
      <w:r>
        <w:rPr>
          <w:b/>
        </w:rPr>
        <w:t>E. 10</w:t>
      </w:r>
    </w:p>
    <w:p>
      <w:r>
        <w:t>Le recourant ne peut être suivi. Ainsi que l’affirme l’AFC-GE dans sa réponse – sans être contredite sur ce point par l’intéressé – la note du réviseur susmentionnée n’a été pas été produite au cours de la procédure de taxation, mais durant celle de rappel et de soustraction d’impôt. Il y a lieu d’écarter l’objection du contribuable selon laquelle l’autorité intimée aurait dû procéder à une instruction au sujet de la justification de la provision. En effet, dès lors que, de 2004 à 2010, elle a admis la provision litigieuse en tant qu’elle se rapportait au litige « C______ », elle n’avait aucune raison de se douter qu’en 2011, le contribuable entendait l’utiliser pour couvrir un autre risque, ce d’autant moins que le montant de la provision n’avait pas changé.</w:t>
      </w:r>
    </w:p>
    <w:p>
      <w:r>
        <w:t>- 11/14 - A/759/2021 Par ailleurs, quand bien même cette note aurait été produite durant la procédure de taxation, la provision « F______ » ne pouvait être admise ni en 2011, ni en 2012. En effet, contrairement à ce que préconise le réviseur, il se révèle exclu de requalifier la provision « C______ » en la provision « F______ ». La requalification d’une provision n’étant pas tolérée, il n’y a pas lieu d’auditionner le réviseur en vue d’établir si cette dernière porte effectivement sur l’affaire « F______ ». Enfin, la provision « F______ », à supposer qu’elle eût été comptabilisée en conformité des règles comptables, n’aurait néanmoins pas été acceptée fiscalement, car non justifiée par l’usage commercial. En effet, elle viserait, dans ce cas, à couvrir des risques découlant de dommages-intérêts dus ensuite d’une procédure pénale intentée par les héritiers F______ à l’encontre du recourant. Or, celui-ci n’est fondé à constituer des provisions que lorsqu’il fait face à des prétentions qui sont en connexité directe avec son activité commerciale, un tel lien devant être nié en matière de responsabilité pénale. Au vu de ce qui précède, c’est à juste titre que l’AFC-GE a dissous la provision « C______ » en 2011. Les reprises contestées doivent dès lors être approuvées.</w:t>
      </w:r>
    </w:p>
    <w:p>
      <w:r>
        <w:rPr>
          <w:b/>
        </w:rPr>
        <w:t>E. 11</w:t>
      </w:r>
    </w:p>
    <w:p>
      <w:r>
        <w:t>Le recourant conteste avoir commis une soustraction d’impôt.</w:t>
      </w:r>
    </w:p>
    <w:p>
      <w:r>
        <w:rPr>
          <w:b/>
        </w:rPr>
        <w:t>E. 12</w:t>
      </w:r>
    </w:p>
    <w:p>
      <w:r>
        <w:t>Aux termes des art. 175 al. 1 LIFD 69 al. 1 LPFisc, le contribuable qui, intentionnellement ou par négligence, fait en sorte qu'une taxation ne soit pas effectuée alors qu'elle devrait l'être, ou qu'une taxation entrée en force soit incomplète, est puni d'une amende. Pour qu'une soustraction fiscale soit réalisée, trois éléments doivent être réunis : la soustraction d'un montant d'impôt qui implique une perte financière pour la collectivité, la violation d'une obligation légale incombant au contribuable et la faute de ce dernier, le comportement illicite et le résultat dommageable devant bien entendu être liés (arrêts du Tribunal fédéral 2C_508/2014 du 20 février 2015 consid. 5.1 ; 2C_1007/2012 du 15 mars 2013 consid. 5.1). Les deux premières conditions sont des éléments constitutifs objectifs de la soustraction fiscale, tandis que la faute en est un élément constitutif subjectif (ATA/370/2015 du 21 avril 2015 consid. 4 et la doctrine citée).</w:t>
      </w:r>
    </w:p>
    <w:p>
      <w:r>
        <w:rPr>
          <w:b/>
        </w:rPr>
        <w:t>E. 13</w:t>
      </w:r>
    </w:p>
    <w:p>
      <w:r>
        <w:t>En l’occurrence, en 2011 et en 2012, le recourant a fait valoir en déduction une provision de CHF 3 millions, alors qu’elle aurait dû être dissoute en 2011. Ce faisant, il a bénéficié d’une imposition plus favorable, ce qui a occasionné une perte financière pour la collectivité. L’élément objectif d’une soustraction d’impôt est ainsi réalisé.</w:t>
      </w:r>
    </w:p>
    <w:p>
      <w:r>
        <w:rPr>
          <w:b/>
        </w:rPr>
        <w:t>E. 14</w:t>
      </w:r>
    </w:p>
    <w:p>
      <w:r>
        <w:t>Le contribuable agit intentionnellement lorsqu'il agit avec conscience et volonté (art. 12 al. 2 du Code pénal suisse du 21 décembre 1937 - CP - RS 311.0). L'auteur agit déjà intentionnellement lorsqu'il tient pour possible la réalisation de</w:t>
      </w:r>
    </w:p>
    <w:p>
      <w:r>
        <w:t>- 12/14 - A/759/2021 l'infraction et l'accepte au cas où celle-ci se produirait (dol éventuel ; art. 12 al. 2 2ème phr. CP). 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(ATA/1262/2015 du 24 novembre 2015 consid. 7b et la référence citée).</w:t>
      </w:r>
    </w:p>
    <w:p>
      <w:r>
        <w:rPr>
          <w:b/>
        </w:rPr>
        <w:t>E. 15</w:t>
      </w:r>
    </w:p>
    <w:p>
      <w:r>
        <w:t>La notion de négligence, au sens de l'art. 175 LIFD, correspond à celle régie par l'art. 12 CP (ATF 135 II 86 consid. 4.4).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ATA/30/2009 du 20 janvier 2009)).</w:t>
      </w:r>
    </w:p>
    <w:p>
      <w:r>
        <w:rPr>
          <w:b/>
        </w:rPr>
        <w:t>E. 16</w:t>
      </w:r>
    </w:p>
    <w:p>
      <w:r>
        <w:t>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(arrêt du Tribunal fédéral 2C_129/2018 du 24 septembre 2018 consid. 9.1)</w:t>
      </w:r>
    </w:p>
    <w:p>
      <w:r>
        <w:rPr>
          <w:b/>
        </w:rPr>
        <w:t>E. 17</w:t>
      </w:r>
    </w:p>
    <w:p>
      <w:r>
        <w:t>En l’espèce, en ne dissolvant pas la provision « C______ » en 2011, alors que le litige y relatif avait pris fin, le recourant avait nécessairement connaissance qu’il remettait à l’AFC-GE une comptabilité inexacte. Il ne saurait se prévaloir du fait qu’il considérait qu’à compter de 2011, la provision se justifiait commercialement, puisque de son point de vue, elle couvrait désormais le litige « F______ », encore pendant. En effet, ni ses comptes, ni les annexes ne spécifiaient le litige en lien avec lequel la provision avait été constituée. Par ailleurs, le contribuable n’a jamais averti l’AFC-GE qu’il entendait requalifier la provision. Or, l’autorité intimée avait d’autant moins de raisons de penser qu’il y avait procédé en 2011 ou 2012, que le montant de celle-ci était demeuré identique depuis 2004. Au vu de ce qui précède, c’est à juste titre que l’AFC-GE a retenu que les soustractions avaient été commises intentionnellement.</w:t>
      </w:r>
    </w:p>
    <w:p>
      <w:r>
        <w:t>- 13/14 - A/759/2021 Les amendes étant fondées dans leur principe, demeure à examiner leur quotité.</w:t>
      </w:r>
    </w:p>
    <w:p>
      <w:r>
        <w:rPr>
          <w:b/>
        </w:rPr>
        <w:t>E. 18</w:t>
      </w:r>
    </w:p>
    <w:p>
      <w:r>
        <w:t>Selon la jurisprudence (arrêt du Tribunal fédéral 2C_173/2015 du 22 avril 2016 consid. 9.3.1 et les réf), en cas de soustraction fiscale, l'amende est en règle générale fixée au montant de l'impôt soustrait. Si la faute est légère, l'amende peut être réduite jusqu'au tiers de ce montant ; si la faute est grave, elle peut au plus être triplée (art. 175 al. 2 LIFD). Selon l'art. 106 al. 3 CP, applicable en matière de droit pénal fiscal en vertu de l'art. 333 al. 1 CP, lorsqu'il considère la faute commise comme légère (ou grave), le juge fixe l'amende en tenant compte de la situation de l'auteur afin que la peine corresponde à la faute commise. En droit pénal fiscal, les éléments principaux à prendre en considération à cet égard sont le montant de l'impôt éludé, la manière de procéder, les motivations, ainsi que les circonstances personnelles et économiques de l'auteur. Le cadre de la peine fixé par l'art. 175 al. 2 première phr. LIFD ne peut en revanche pas être dépassé ni vers le haut ni vers le bas, à moins que l'on ne soit en présence de circonstances aggravantes ou atténuantes et dans les limites de la deuxième phr.</w:t>
      </w:r>
    </w:p>
    <w:p>
      <w:r>
        <w:rPr>
          <w:b/>
        </w:rPr>
        <w:t>E. 19</w:t>
      </w:r>
    </w:p>
    <w:p>
      <w:r>
        <w:t>En l’espèce, les soustractions se sont déroulées durant deux périodes fiscales, ce qui constitue une circonstance aggravante. Le recourant ne se prévaut d’aucune circonstance atténuante. Il exerce la profession de B______ et ses déclarations fiscales ont été remplies par une fiduciaire. Il ne pouvait dès lors pas ignorer que la provision devait être dissoute. En conséquence, des amendes, dont la quotité a été fixée à une fois les impôts éludés, ce qui correspond au quantum « ordinaire », se révèlent conformes à la faute commise par le recourant.</w:t>
      </w:r>
    </w:p>
    <w:p>
      <w:r>
        <w:rPr>
          <w:b/>
        </w:rPr>
        <w:t>E. 20</w:t>
      </w:r>
    </w:p>
    <w:p>
      <w:r>
        <w:t>Au vu de ce qui précède, le recours doit être rejeté.</w:t>
      </w:r>
    </w:p>
    <w:p>
      <w:r>
        <w:rPr>
          <w:b/>
        </w:rPr>
        <w:t>E. 21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t>- 14/14 - A/759/2021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