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DITAI/577/2022 vom 29. März 2021</w:t>
      </w:r>
    </w:p>
    <w:p>
      <w:r>
        <w:t>GE Cour de justice, 2021-03-29, FR</w:t>
      </w:r>
    </w:p>
    <w:p>
      <w:r>
        <w:rPr>
          <w:b/>
        </w:rPr>
        <w:t xml:space="preserve">Quelle: </w:t>
      </w:r>
      <w:r>
        <w:t>https://mcp.opencaselaw.ch/entscheid/ge_gerichte_DITAI_577_2022</w:t>
      </w:r>
    </w:p>
    <w:p>
      <w:r>
        <w:t>FR: GE_GERICHTE DITAI/577/2022 du 29 mars 2021</w:t>
      </w:r>
    </w:p>
    <w:p>
      <w:r>
        <w:t>IT: GE_GERICHTE DITAI/577/2022 del 29 marzo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Selon l’art. 66 al. 1 de la loi sur la procédure administrative du 12 septembre 1985 (LPA - E 5 10),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w:t>
      </w:r>
    </w:p>
    <w:p>
      <w:r>
        <w:rPr>
          <w:b/>
        </w:rPr>
        <w:t>E. 3</w:t>
      </w:r>
    </w:p>
    <w:p>
      <w:r>
        <w:t>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126 V 407 ; 116 lb 344 ; ATA/354/2014 du 14 mai 2014 consid. 4.a et références citées ; Pierre MOOR/Étienne POLTIER, Droit administratif, vol. II, 2011, n° 5.8.3.3 p. 814 ; Fritz GYGI, L’effet suspensif et les mesures provisionnelles en procédure administrative, in RDAF 1976 p. 217, 221 et 223).</w:t>
      </w:r>
    </w:p>
    <w:p>
      <w:r>
        <w:rPr>
          <w:b/>
        </w:rPr>
        <w:t>E. 4</w:t>
      </w:r>
    </w:p>
    <w:p>
      <w:r>
        <w:t>Dans le cas particulier, le recourant ne bénéficiant d’aucun statut légal en Suisse, la décision litigieuse a un contenu négatif. Compte tenu de l'impossibilité de</w:t>
      </w:r>
    </w:p>
    <w:p>
      <w:r>
        <w:t>- 4/6 - A/4031/2022 restituer un effet suspensif à une telle décision, la requête du recourant doit être traitée comme une demande de mesures provisionnelles au sens de l'art. 21 LPA.</w:t>
      </w:r>
    </w:p>
    <w:p>
      <w:r>
        <w:rPr>
          <w:b/>
        </w:rPr>
        <w:t>E. 5</w:t>
      </w:r>
    </w:p>
    <w:p>
      <w:r>
        <w:t>A teneur de l’art. 21 al. 1 LPA, les mesures provisionnelles à disposition de l’autorité administrative ont pour objet de régler transitoirement la situation en cause, jusqu’à ce que soit prise la décision finale (Pierre MOOR, op. cit. p. 305, n° 2.2.6.8). Selon la jurisprudence du Tribunal fédéral, reprise par la chambre administrative de la Cour de justice et le tribunal, les mesures provisionnelles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ATA/354/2014 du 14 mai 2014 consid. 5 et références citées ; Isabelle HAENER, Vorsorglichen Massnahmen, Verwaltungsverfahren und Verwaltungsprozess, in Les mesures provisoires en procédure civile, administrative et pénale, 1987, p. 26).</w:t>
      </w:r>
    </w:p>
    <w:p>
      <w:r>
        <w:rPr>
          <w:b/>
        </w:rPr>
        <w:t>E. 6</w:t>
      </w:r>
    </w:p>
    <w:p>
      <w:r>
        <w:t>En l'espèce, indépendamment de la question de savoir si l'on se trouve dans le cadre d'une demande de reconsidération et si, par conséquent, l'art. 48 al. 2 LPA, qui prévoit que de telles demandes n'entraînent pas d'effet suspensif, doit ou non s'appliquer, force est de constater que le recourant persiste à séjourner illégalement en Suisse alors qu'il fait l'objet d'une décision de renvoi de Suisse entrée en force depuis maintenant plus de quatre ans et qu'il n'a jamais exécutée. Non seulement il n'a pas donné suite à cette décision, mais il a encore accueilli en Suisse sa famille de manière illégale, après que le tribunal de céans eu confirmé le refus d'entrer en matière prononcé par l'OCPM le 15 juillet 2020.</w:t>
      </w:r>
    </w:p>
    <w:p>
      <w:r>
        <w:rPr>
          <w:b/>
        </w:rPr>
        <w:t>E. 7</w:t>
      </w:r>
    </w:p>
    <w:p>
      <w:r>
        <w:t>C'est par conséquent à juste titre que cette autorité a constaté qu'en tout état, les éléments dont s'est prévalu le recourant dans sa demande du 4 octobre 2022 découlent de la politique du fait accompli et que dans ces conditions, l'intérêt public à vouloir faire respecter les décisions entrées en force l'emporte sur les intérêts privés du recourant.</w:t>
      </w:r>
    </w:p>
    <w:p>
      <w:r>
        <w:rPr>
          <w:b/>
        </w:rPr>
        <w:t>E. 8</w:t>
      </w:r>
    </w:p>
    <w:p>
      <w:r>
        <w:t>Il convient encore de rappeler que la protection de la vie familiale garantie par l'art. 8 de la Convention de sauvegarde des droits de l’homme et des libertés fondamentales du 4 novembre 1950 (CEDH - RS 0.101) ne s'applique pas dans le cas d'espèce, étant donné qu'aucun des membres de la famille ne dispose d'un droit de séjour en Suisse (cf. notamment arrêts du Tribunal fédéral 2C_22/2009 consid. 2.2.2 du 5 octobre 2009; 2C_758/2007 consid. 5.1 du 10 mars 2008; 2C_80/2007 consid. 2.2 du 25 juillet 2007; 2A.421/2006 consid. 1.2 du 13 février 2007; 2A.621/2006 consid 4.1 du 3 janvier 2007: ATF 135 I 143 consid. 1.3.1 p. 145 ss; 130 II 281 consid. 3.1 p. 261; 126 II 335 consid. 2a p. 339s.)</w:t>
      </w:r>
    </w:p>
    <w:p>
      <w:r>
        <w:rPr>
          <w:b/>
        </w:rPr>
        <w:t>E. 9</w:t>
      </w:r>
    </w:p>
    <w:p>
      <w:r>
        <w:t>Par conséquent, la demande de restitution d'effet suspensif, traitée en tant que demande de mesures provisionnelles, doit être rejetée.</w:t>
      </w:r>
    </w:p>
    <w:p>
      <w:r>
        <w:t>- 5/6 - A/4031/2022</w:t>
      </w:r>
    </w:p>
    <w:p>
      <w:r>
        <w:rPr>
          <w:b/>
        </w:rPr>
        <w:t>E. 10</w:t>
      </w:r>
    </w:p>
    <w:p>
      <w:r>
        <w:t>La suite de la procédure est réservée.</w:t>
      </w:r>
    </w:p>
    <w:p>
      <w:r>
        <w:rPr>
          <w:b/>
        </w:rPr>
        <w:t>E. 11</w:t>
      </w:r>
    </w:p>
    <w:p>
      <w:r>
        <w:t>Le sort des frais de l'instance sera tranché avec le fond du litige (art. 87 al. 1 LPA).</w:t>
      </w:r>
    </w:p>
    <w:p>
      <w:r>
        <w:rPr>
          <w:b/>
        </w:rPr>
        <w:t>E. 12</w:t>
      </w:r>
    </w:p>
    <w:p>
      <w:r>
        <w:t>En vertu des art. 89 al. 2 et 111 al. 2 de la loi sur le Tribunal fédéral du 17 juin 2005 (LTF - RS 173.110), la présente décision sera communiquée au secrétariat d'État aux migrations.</w:t>
      </w:r>
    </w:p>
    <w:p>
      <w:r>
        <w:t>- 6/6 - A/4031/2022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