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DCSO/9/2011 vom 11. Januar 2011</w:t>
      </w:r>
    </w:p>
    <w:p>
      <w:r>
        <w:t>GE Cour de justice, 2011-01-11, FR</w:t>
      </w:r>
    </w:p>
    <w:p>
      <w:r>
        <w:rPr>
          <w:b/>
        </w:rPr>
        <w:t xml:space="preserve">Quelle: </w:t>
      </w:r>
      <w:r>
        <w:t>https://mcp.opencaselaw.ch/entscheid/ge_gerichte_DCSO_9_2011</w:t>
      </w:r>
    </w:p>
    <w:p>
      <w:r>
        <w:t>FR: GE_GERICHTE DCSO/9/2011 du 11 janvier 2011</w:t>
      </w:r>
    </w:p>
    <w:p>
      <w:r>
        <w:t>IT: GE_GERICHTE DCSO/9/2011 del 11 gennaio 2011</w:t>
      </w:r>
    </w:p>
    <w:p>
      <w:pPr>
        <w:pStyle w:val="Heading2"/>
      </w:pPr>
      <w:r>
        <w:t>Regeste</w:t>
      </w:r>
    </w:p>
    <w:p>
      <w:r>
        <w:t>Résumé: Le plaignant n'a pas produit la décision attaquée (il n'a pas retiré le pli recommandé alors qu'il devait s'attendre à recevoir une communication de l'Autorité de céans).</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9 al. 1 et 2 LaLP, les plaintes à la Commission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w:t>
      </w:r>
    </w:p>
    <w:p>
      <w:r>
        <w:t>- 3/4 -</w:t>
      </w:r>
    </w:p>
    <w:p>
      <w:r>
        <w:t>-AS Commission de céans doit impartir au plaignant un bref délai pour satisfaire à ces exigences, sous peine d’irrecevabilité (art. 9 al. 2 LaLP et art. 65 al. 2 LPA).</w:t>
      </w:r>
    </w:p>
    <w:p>
      <w:r>
        <w:rPr>
          <w:b/>
        </w:rPr>
        <w:t>E. 3</w:t>
      </w:r>
    </w:p>
    <w:p>
      <w:r>
        <w:t>Dans le cas particulier, l'Autorité de surveillance a, par courrier du 13 décembre 2010, envoyé sous pli recommandé, imparti au plaignant un délai au 23 suivant pour produire l'acte attaqué et les annexes mentionnées. L'intéressé, qui n'a pas retiré ce pli, n'a pas donné suite.</w:t>
      </w:r>
    </w:p>
    <w:p>
      <w:r>
        <w:t>Il devait pourtant s'attendre à recevoir une communication de l'Autorité de surveillance à laquelle il s'était adressé le 10 décembre 2010.</w:t>
      </w:r>
    </w:p>
    <w:p>
      <w:r>
        <w:t>Or, selon la jurisprudence, ce courrier, en tant qu'il avait été envoyé sous pli recommandé et qu'il avait fait l'objet d'une tentative infructueuse de notification par la poste, est réputé notifié le septième jour après cette tentative en cas de non retrait (ATF 127 I 31 consid. 2a/aa , ATF 117 III 4 consid. 2 ; arrêt du Tribunal fédéral 5A_595/2009 du 10 décembre 2009).</w:t>
      </w:r>
    </w:p>
    <w:p>
      <w:r>
        <w:rPr>
          <w:b/>
        </w:rPr>
        <w:t>E. 4</w:t>
      </w:r>
    </w:p>
    <w:p>
      <w:r>
        <w:t>La plainte doit en conséquence être déclarée irrecevable.</w:t>
      </w:r>
    </w:p>
    <w:p>
      <w:r>
        <w:rPr>
          <w:b/>
        </w:rPr>
        <w:t>E. 5</w:t>
      </w:r>
    </w:p>
    <w:p>
      <w:r>
        <w:t>La présente décision est prise en application des art. 72 LPA et 9 al. 2 LaLP. Elle sera toutefois communiquée à l'Office des poursuites.</w:t>
      </w:r>
    </w:p>
    <w:p>
      <w:r>
        <w:t>* * * * *</w:t>
      </w:r>
    </w:p>
    <w:p>
      <w:r>
        <w:t>- 4/4 -</w:t>
      </w:r>
    </w:p>
    <w:p>
      <w:r>
        <w:t>-AS PAR CES MOTIFS, L'Autorité de surveillance : Déclare irrecevable la plainte A/4228/2010 formée le 10 décembre 2010 par M. U______. Siégeant : Madame Ariane WEYENETH, présidente; Messieurs Yves DE COULON et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