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DCSO/99/2021 vom 23. November 2020</w:t>
      </w:r>
    </w:p>
    <w:p>
      <w:r>
        <w:t>GE Cour de justice, 2020-11-23, FR</w:t>
      </w:r>
    </w:p>
    <w:p>
      <w:r>
        <w:rPr>
          <w:b/>
        </w:rPr>
        <w:t xml:space="preserve">Quelle: </w:t>
      </w:r>
      <w:r>
        <w:t>https://mcp.opencaselaw.ch/entscheid/ge_gerichte_DCSO_99_2021</w:t>
      </w:r>
    </w:p>
    <w:p>
      <w:r>
        <w:t>FR: GE_GERICHTE DCSO/99/2021 du 23 novembre 2020</w:t>
      </w:r>
    </w:p>
    <w:p>
      <w:r>
        <w:t>IT: GE_GERICHTE DCSO/99/2021 del 23 novembre 2020</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ATF 129 III 595 consid. 3; ATF 120 III 42 consid. 3). Ainsi, les créanciers ont, de manière générale, le droit de se plaindre de ce que les actes de l'administration de la faillite n'ont pas été accomplis conformément à la loi (ATF 138 III 219 consid. 2.3; ATF 119 III 81 consid. 2). En revanche, les tiers à la procédure d'exécution forcée n'ont en principe pas la qualité pour former une plainte à moins qu'un acte de poursuite ne leur soit directement préjudiciable (arrêt 5A_483/2012 du 23 août 2012 consid. 5.3.1 et les références citées). Le plaignant doit dans tous les cas poursuivre un but concret; il doit être matériellement lésé par les effets de la décision attaquée et avoir un intérêt digne de protection à sa modification ou à son annulation (ATF 138 III 219 consid. 2.3; ATF 120 II 5 consid. 2a).</w:t>
      </w:r>
    </w:p>
    <w:p>
      <w:r>
        <w:rPr>
          <w:b/>
        </w:rPr>
        <w:t>E. 1.2</w:t>
      </w:r>
    </w:p>
    <w:p>
      <w:r>
        <w:t>La plainte vise en l'espèce une décision pouvant être attaquée par cette voie et a été formée auprès de l'autorité compétente pour en connaître dans le délai et les formes prévus par la loi. Elle est, dans cette mesure, recevable.</w:t>
      </w:r>
    </w:p>
    <w:p>
      <w:r>
        <w:t>Il apparaît en revanche douteux que la plaignante, qui ne dispose plus d'aucune prétention contre la masse en faillite ancillaire depuis la réception par l'Office de sa déclaration de compensation du 17 novembre 2020, soit lésée dans ses intérêts juridiquement protégés ou atteinte dans ses intérêts de fait par la décision contestée. Elle n'explique en particulier pas quel avantage concret lui procurerait la cession de la prétention inventoriée puisque, conformément aux principes régissant une telle cession, l'intégralité des montants obtenus, sous déduction des frais engagés, devrait être reversée à la masse (art. 260 al. 2 LP).</w:t>
      </w:r>
    </w:p>
    <w:p>
      <w:r>
        <w:t>Au vu des considérations qui suivent, la question peut toutefois demeurer ouverte.</w:t>
      </w:r>
    </w:p>
    <w:p>
      <w:r>
        <w:rPr>
          <w:b/>
        </w:rPr>
        <w:t>E. 2.1</w:t>
      </w:r>
    </w:p>
    <w:p>
      <w:r>
        <w:t>En vertu de l'art. 260 LP, si l'ensemble des créanciers renonce à faire valoir une prétention portée à l'inventaire, chacun d'eux peut en demander la cession (al. 1); le produit, déduction faite des frais, sert à couvrir les créances des cessionnaires dans l'ordre de leur rang et l'excédent est versé à la masse (al. 2). Le droit d'obtenir la cession est lié ex lege à la qualité d'intervenant du créancier</w:t>
      </w:r>
    </w:p>
    <w:p>
      <w:r>
        <w:t>- 5/6 -</w:t>
      </w:r>
    </w:p>
    <w:p>
      <w:r>
        <w:t>A/3892/2020-CS colloqué. Ainsi, chaque créancier porté à l'état de collocation a le droit de requérir et d'obtenir la cession des droits de la masse aussi longtemps que sa créance n'a pas été définitivement écartée de l'état de collocation, pour autant qu'il ne soit pas lui-même débiteur de la prétention cédée (ATF 145 III 101 consid. 4.1.1 et 4.2.2.1).</w:t>
      </w:r>
    </w:p>
    <w:p>
      <w:r>
        <w:t>Dans le cadre d'une faillite ancillaire, soit d'une faillite ouverte en Suisse ensuite de la reconnaissance d'un jugement de faillite étranger et portant sur le patrimoine du failli sis en Suisse (art. 170 al. 1 LP), l'état de collocation ne comprend que les créanciers gagistes (art. 172 al. 1 let. a LDIP), les créanciers non gagistes privilégiés (art. 172 al. 1 let. b LDIP) et les créanciers d'une succursale suisse du failli pour les créances liées à celle-ci (art. 172 al. 1 let. c LDIP). La loi vise ainsi à protéger les créanciers gagistes dont le gage est situé en Suisse et les créanciers privilégiés domiciliés en Suisse (ATF 134 III 366 consid. 5.1.2) ou les créanciers d'une succursale suisse.</w:t>
      </w:r>
    </w:p>
    <w:p>
      <w:r>
        <w:t>A moins que le failli ne soit personnellement tenu envers lui – auquel cas la part de sa créance éventuellement non couverte par la réalisation du gage sera colloquée, si elle n'est pas privilégiée, en troisième classe (art. 219 al. 4 LP; art. 85 deuxième tiret OAOF) – le créancier gagiste n'est toutefois pas un créancier de la masse "générale" (ATF 138 III 628 consid. 5.3.3). Il en résulte que, dans la liquidation d'une faillite ancillaire où les créanciers ordinaires ne sont pas colloqués (art. 172 al. 1 LP), le créancier gagiste n'est garanti que par son gage, à moins qu'il ne soit simultanément titulaire contre le failli d'une créance personnelle privilégiée au sens de l'art. 172 al. 1 let. b et c LDIP (ATF 138 III 628 consid. 5.4). Sous cette réserve, il ne saurait ainsi ni se faire céder une prétention du failli sans relation avec l'objet du gage ni s'opposer à la cession d'une telle prétention en faveur de l'administration de la faillite étrangère.</w:t>
      </w:r>
    </w:p>
    <w:p>
      <w:r>
        <w:rPr>
          <w:b/>
        </w:rPr>
        <w:t>E. 2.2</w:t>
      </w:r>
    </w:p>
    <w:p>
      <w:r>
        <w:t>Dans le cas d'espèce, c'est en qualité de créancière gagiste au sens de l'art. 172 al. 1 let. a LDIP que la plaignante a demandé à être colloquée. Elle n'a en revanche jamais prétendu disposer à l'encontre de la faillie d'une créance non garantie par gage et privilégiée au sens de l'art. 172 al. 1 let. b ou c LDIP, qui seule lui donnerait la possibilité de requérir et d'obtenir une cession des droits de la masse en application de l'art. 260 LP. Sa demande en ce sens était donc d'emblée mal fondée, avec pour conséquence que la décision de l'Office doit être confirmée sans même qu'il soit nécessaire d'examiner si, comme le soutient la plaignante, un ex-créancier peut encore se prévaloir de sa collocation alors que la créance colloquée n'existe plus, ce qui en tout état paraît plus que douteux.</w:t>
      </w:r>
    </w:p>
    <w:p>
      <w:r>
        <w:rPr>
          <w:b/>
        </w:rPr>
        <w:t>E. 3</w:t>
      </w:r>
    </w:p>
    <w:p>
      <w:r>
        <w:t>La procédure de plainte est gratuite (art. 20a al. 2 ch. 5 LP;art. 61 al. 2 lit. a OELP) et il n'est pas alloué de dépens (art. 62 al. 2 OELP). * * * * *</w:t>
      </w:r>
    </w:p>
    <w:p>
      <w:r>
        <w:t>- 6/6 -</w:t>
      </w:r>
    </w:p>
    <w:p>
      <w:r>
        <w:t>A/3892/2020-CS PAR CES MOTIFS, La Chambre de surveillance : A la forme : Déclare recevable la plainte formée par A______ SA contre la décision rendue le 3 novembre 2020 par l'Office cantonal des faillites dans la liquidation de la faillite ancillaire de B______ LIMITED. Au fond : La rejette. Siégeant : Monsieur Patrick CHENAUX, président; Messieurs Luca MINOTTI et Mathieu HOWALD,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