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DCSO/99/2019 vom 28. Februar 2019</w:t>
      </w:r>
    </w:p>
    <w:p>
      <w:r>
        <w:t>GE Cour de justice, 2019-02-28, FR</w:t>
      </w:r>
    </w:p>
    <w:p>
      <w:r>
        <w:rPr>
          <w:b/>
        </w:rPr>
        <w:t xml:space="preserve">Quelle: </w:t>
      </w:r>
      <w:r>
        <w:t>https://mcp.opencaselaw.ch/entscheid/ge_gerichte_DCSO_99_2019</w:t>
      </w:r>
    </w:p>
    <w:p>
      <w:r>
        <w:t>FR: GE_GERICHTE DCSO/99/2019 du 28 février 2019</w:t>
      </w:r>
    </w:p>
    <w:p>
      <w:r>
        <w:t>IT: GE_GERICHTE DCSO/99/2019 del 28 febbraio 2019</w:t>
      </w:r>
    </w:p>
    <w:p>
      <w:pPr>
        <w:pStyle w:val="Heading2"/>
      </w:pPr>
      <w:r>
        <w:t>Regeste</w:t>
      </w:r>
    </w:p>
    <w:p>
      <w:r>
        <w:t>Résumé: quotité saisissable investigations de l'OP saisie de gains arrangée</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La plaignante reproche à l'Office d'avoir mis la débitrice au bénéfice d'une saisie de gains arrangée au lieu d'exécuter une saisie sur salaire auprès de son employeur. Elle lui reproche également d'avoir mal établi les revenus et charges de la débitrice. 2.1.1 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 même) réside par conséquent dans la manière dont elles sont exécutées. Ces deux mesures ne présentent toutefois pas de différences essentielles. Dans les deux cas, ce qui est décisif, c'est la déclaration du préposé au poursuivi l'informant qu'une</w:t>
      </w:r>
    </w:p>
    <w:p>
      <w:r>
        <w:t>- 4/7 -</w:t>
      </w:r>
    </w:p>
    <w:p>
      <w:r>
        <w:t>A/4378/2018-CS certaine part de gain est saisie et le prévenant expressément qu'il doit se garder de disposer de cette part sans autorisation de l'Office, sous peine d'encourir les sanctions de la loi pénale (art. 169 CPS; OCHSNER, CR LP, 2005, n. 15 ss ad art. 93 LP; ATF 93 III 33, JdT 1967 II 66). De manière restrictive (cf. la Directive sur les saisies de gains dites "arrangées", n° 06_022), l'Office admet, en application de l'art. 95 al. 5 LP, qui prévoit que le fonctionnaire qui procède à la saisie doit concilier autant que possible les intérêts du créancier et ceux du débiteur, une saisie en mains propres, saisie de gains dite "arrangée"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(cf. DCSO/274/2013 du 24 novembre 2013 consid. 2 et les références citées; DCSO/210/2012 du 31 mai 2012 consid. 7). 2.1.2 Lorsque le débiteur est sujet à la poursuite par voie de saisie, l'Office, après réception de la réquisition de continuer la poursuite, procède sans retard à la saisie ou y fait procéder par l'office du lieu où se trouvent les biens à saisir (art. 89 LP). L'Office, qui est chargé d'exécuter la saisie, doit déterminer d'office les faits pertinents pour son exécution (cf. not.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LP, n. 12 ad art. 91 LP). Les tiers peuvent également être sollicités, dès lors que la loi leur impose la même obligation de renseigner qu'au débiteur (art. 91 al. 4 LP; OCHSNER, op. cit., n. 25 ad art. 93; JEANDIN, CR LP, 2005, n. 15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n. 13 et 16 ad art. 91 LP). Le poursuivi est tenu envers l'Office de collaborer; il doit fournir les éventuels moyens de preuve au moment de la saisie déjà (ATF 119 III 70 consid. 1).</w:t>
      </w:r>
    </w:p>
    <w:p>
      <w:r>
        <w:t>- 5/7 -</w:t>
      </w:r>
    </w:p>
    <w:p>
      <w:r>
        <w:t>A/4378/2018-CS La question de savoir si et dans quelle mesure l'enquête officielle menée par l'Office est défectueuse et son résultat inexact ne doit être examinée qu'en ce qui concerne les éléments critiqués par le créancier dans sa plainte (cf. ATF 127 III 572 consid. 3c, JT 2001 II 78). 2.2.1 Dans le cas d'espèce, l'Office a admis une saisie de gains en mains de la débitrice. Une telle saisie avait déjà été mise en place dans le cadre de poursuites antérieures et la poursuivie s'est régulièrement acquittée des montants saisis. Il s'ensuit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de la poursuivie se rejoignent dans la mesure où une perte d'emploi pourrait conduire à une diminution du montant saisissable. La plainte s'avère donc infondée sur ce point. 2.2.2 En revanche, c'est à bon droit que la plaignante reproche à l'Office de s'être satisfait des explications données par la débitrice au sujet de ses revenus et charges sans exiger d'elle qu'elle les justifie par pièces. Ainsi, les seuls documents évoqués par l'Office – et figurant au dossier soumis à la Chambre de surveillance – sont les fiches de salaire des mois de septembre à décembre 2018, à l'exclusion, notamment, du contrat de travail signé par la débitrice. Outre ce contrat, il incombait pourtant à l'Office d'obtenir, à tout le moins, les relevés bancaires et postaux de la débitrice, afin de vérifier ses entrées d'argent et le paiement régulier de ses charges, y compris celles de sa famille. Sur ce point, on ignore comment l'Office a calculé la charge de loyer de la débitrice, laquelle ne conteste pas héberger sa belle-mère à son domicile. Or, aucune information n'est fournie concernant les revenus de cette dernière (rente AVS, prestations complémentaires, etc.) et l'étendue de sa participation aux coûts du ménage. Il appartiendra donc à l'Office d'investiguer cette question, en sollicitant les justificatifs idoines (contrat de bail, avis de majoration, relevés bancaires ou postaux de la débitrice attestant du paiement du loyer, etc.) et, cas échéant, en procédant à l'audition de la débitrice et de sa belle-mère, voire de son époux, en se déplaçant si besoin au domicile familial. Par conséquent, la plainte sera admise en tant qu'elle sollicite le renvoi de la cause à l'Office pour qu'il procède aux mesures d'instruction sus-évoquées, ainsi qu'à toute autre mesure qu'il estimera opportune et adéquate au vu des circonstances du cas d'espèce. 2.2.3 Le procès-verbal de saisie du 10 décembre 2018, qui s'avère incomplet, doit être annulé. Une fois qu'il aura procédé aux investigations utiles, il incombera à</w:t>
      </w:r>
    </w:p>
    <w:p>
      <w:r>
        <w:t>- 6/7 -</w:t>
      </w:r>
    </w:p>
    <w:p>
      <w:r>
        <w:t>A/4378/2018-CS l'Office d'établir un nouveau procès-verbal tenant compte de ces investigations et de leur résultat, puis de le communiquer aux créanciers et à la débitrice.</w:t>
      </w:r>
    </w:p>
    <w:p>
      <w:r>
        <w:rPr>
          <w:b/>
        </w:rPr>
        <w:t>E. 3</w:t>
      </w:r>
    </w:p>
    <w:p>
      <w:r>
        <w:t>La procédure de plainte est gratuite (art. 20a al. 2 ch. 5 LP; 61 al. 2 let. a OELP) et il ne peut être alloué aucuns dépens dans cette procédure (art. 62 al. 2 OELP). * * * * *</w:t>
      </w:r>
    </w:p>
    <w:p>
      <w:r>
        <w:t>- 7/7 -</w:t>
      </w:r>
    </w:p>
    <w:p>
      <w:r>
        <w:t>A/4378/2018-CS PAR CES MOTIFS, La Chambre de surveillance : A la forme : Déclare recevable la plainte formée le 12 décembre 2018 par A______ AG contre le procès-verbal de saisie du 10 décembre 2018, série n° 2______. Au fond : Annule le procès-verbal de saisie attaqué. Invite l'Office des poursuites à établir un nouveau procès-verbal de saisie dans le sens des considérants et à le communiquer aux créanciers et à la débitrice. Rejette la plainte pour le surplus. Siégeant : Madame Nathalie RAPP, présidente; Madame Natalie OPPATJA et Monsieur Christian CHAVAZ,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