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DCSO/97/2013 vom 18. April 2013</w:t>
      </w:r>
    </w:p>
    <w:p>
      <w:r>
        <w:t>GE Cour de justice, 2013-04-18, FR</w:t>
      </w:r>
    </w:p>
    <w:p>
      <w:r>
        <w:rPr>
          <w:b/>
        </w:rPr>
        <w:t xml:space="preserve">Quelle: </w:t>
      </w:r>
      <w:r>
        <w:t>https://mcp.opencaselaw.ch/entscheid/ge_gerichte_DCSO_97_2013</w:t>
      </w:r>
    </w:p>
    <w:p>
      <w:r>
        <w:t>FR: GE_GERICHTE DCSO/97/2013 du 18 avril 2013</w:t>
      </w:r>
    </w:p>
    <w:p>
      <w:r>
        <w:t>IT: GE_GERICHTE DCSO/97/2013 del 18 aprile 2013</w:t>
      </w:r>
    </w:p>
    <w:p>
      <w:pPr>
        <w:pStyle w:val="Heading2"/>
      </w:pPr>
      <w:r>
        <w:t>Regeste</w:t>
      </w:r>
    </w:p>
    <w:p>
      <w:r>
        <w:t>Résumé: Abus de droit nié.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plainte a été déposée dans les dix jours de la notification du commandement de payer querellé (art. 31 LP; art. 142 al. 1 et 3 CPC). Respectant pour le surplus les exigences de forme prescrites par la loi (art. 9 al. 1 LaLP et 65 al. 1 et 2 LPA applicable par renvoi de l'art. 9 al. 4 LaLP), elle est recevable. 2. 2.1 Saisi d'une réquisition de poursuite répondant aux exigences de l'art. 67 LP, l'office est tenu d'y donner suite par la notification du commandement de payer (art. 71 al. 1 LP), sans avoir à se soucier de la réalité de la créance réclamée (GILLIERON, Commentaire de la loi fédérale sur la poursuite pour dettes et la faillite, ad art. 67 LP n° 16). Selon la jurisprudence du Tribunal fédéral, la procédure de plainte de l'art. 17 LP ne permet pas d'obtenir, en invoquant l'art. 2 CC, l'annulation de la procédure de</w:t>
      </w:r>
    </w:p>
    <w:p>
      <w:r>
        <w:t>- 5/8 -</w:t>
      </w:r>
    </w:p>
    <w:p>
      <w:r>
        <w:t>A/478/2013-CS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JdT 1989 II 120; arrêts du Tribunal fédéral 5A_890/2012 du 5 mars 2013, consid. 5.2 et les références citées; 5A_595/2012 du 24 octobre 2012, consid. 4 et les références citées résumé in SJ 2013 I 188).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(GILLIERON, op. cit., ad art. 17 n° 88; WÜTHRICH/SCHOCH, BaK-SchKG I, 2ème éd., ad art. 69 n° 15 s.;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JdT 1991 II 76; arrêts 5A_890/2012 et 5A_595/2012 précités).</w:t>
      </w:r>
    </w:p>
    <w:p>
      <w:r>
        <w:t>- 6/8 -</w:t>
      </w:r>
    </w:p>
    <w:p>
      <w:r>
        <w:t>A/478/2013-CS 2.2 En l'espèce, force est de constater que la contestation de la plaignante porte sur la prétention litigieuse. Elle allègue, en effet, que la poursuivante ne serait pas fondée à lui réclamer le paiement de la créance en poursuite, dès lors qu'elle n'a jamais été administratrice ou organe des sociétés du groupe Y______ ou de B______ SA, ni partie à un aucun des accords conclus en relation avec la vente de cette société, et qu'elle n'a jamais perçu de rémunération ou de paiements de celles-ci. Or, il n'appartient pas à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par la poursuivante, l'on ne saurait, en effet, considérer la créance faisant l'objet de la poursuite querellée comme étant manifestement dénuée de tout fondement. Il s'avère en particulier qu'une procédure arbitrale a été introduite à Paris par N______ BV contre K______ LTD et M. B______ et est en cours d'instruction, que la plaignante est, au côté de M. B______, son époux, directrice de K______ LTD, qu'elle a droit de signature individuelle sur le compte bancaire de cette société, qu'un contrat de consultant a été conclu en septembre 2008 entre Y______ LTD et K______ LTD et que des transactions ont été passées entre K______ LTD et N______ BV.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Par ailleurs, en droit suisse des poursuites, toute personne peut engager immédiatement une poursuite même si elle n'est pas encore reconnue créancière par une décision au fond (cf. arrêts du Tribunal fédéral 7B.36/2006 du 16 mai 2006, consid. 2.2; 5A_890/2012, consid. 5.2 et 5A_595/2012, consid. 4 in fine précités). En l'occurrence, la poursuivante a expressément fait valoir dans ses observations que la notification litigieuse avait pour but d'interrompre la prescription, la plaignante n'étant pas partie à la procédure d'arbitrage dirigée contre son époux et K______ LTD. Enfin, il sera rappelé que le refus de produire ses moyens de preuve n'a aucune conséquence directe pour le poursuivant - le juge pouvant cependant en tenir compte en statuant sur les frais de procès consécutifs (art. 73 al. 2 2ème phr. LP; BlSchK 1982 189) - et que ce seul fait ne permet pas démontrer l'existence d'un abus de droit, et donc de considérer la poursuite comme nulle (BlSchK 1994 96). Dans ces circonstances, l'on ne saurait admettre que la poursuivante a agi dans le seul but de nuire à la plaignante.</w:t>
      </w:r>
    </w:p>
    <w:p>
      <w:r>
        <w:t>- 7/8 -</w:t>
      </w:r>
    </w:p>
    <w:p>
      <w:r>
        <w:t>A/478/2013-CS La plainte sera en conséquence rejetée.</w:t>
      </w:r>
    </w:p>
    <w:p>
      <w:r>
        <w:rPr>
          <w:b/>
        </w:rPr>
        <w:t>E. 3</w:t>
      </w:r>
    </w:p>
    <w:p>
      <w:r>
        <w:t>La procédure de plainte est gratuite (art. 20a al. 2 ch. 5 LP et art. 61 al. 2 let. a OELP) et il ne peut être alloué aucun dépens dans cette procédure (62 al. 2 OELP).</w:t>
      </w:r>
    </w:p>
    <w:p>
      <w:r>
        <w:t>* * * * *</w:t>
      </w:r>
    </w:p>
    <w:p>
      <w:r>
        <w:t>- 8/8 -</w:t>
      </w:r>
    </w:p>
    <w:p>
      <w:r>
        <w:t>A/478/2013-CS PAR CES MOTIFS, La Chambre de surveillance : A la forme : Déclare recevable la plainte formée 8 février 2013 par Mme B______ contre la notification du commandement de payer, poursuite n° 12 xxxx48 A, le 30 janvier 2013. Au fond : La rejette. Déboute les parties de toutes autres conclusions. 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