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DCSO/96/2014 vom 10. April 2014</w:t>
      </w:r>
    </w:p>
    <w:p>
      <w:r>
        <w:t>GE Cour de justice, 2014-04-10, FR</w:t>
      </w:r>
    </w:p>
    <w:p>
      <w:r>
        <w:rPr>
          <w:b/>
        </w:rPr>
        <w:t xml:space="preserve">Quelle: </w:t>
      </w:r>
      <w:r>
        <w:t>https://mcp.opencaselaw.ch/entscheid/ge_gerichte_DCSO_96_2014</w:t>
      </w:r>
    </w:p>
    <w:p>
      <w:r>
        <w:t>FR: GE_GERICHTE DCSO/96/2014 du 10 avril 2014</w:t>
      </w:r>
    </w:p>
    <w:p>
      <w:r>
        <w:t>IT: GE_GERICHTE DCSO/96/2014 del 10 aprile 2014</w:t>
      </w:r>
    </w:p>
    <w:p>
      <w:pPr>
        <w:pStyle w:val="Heading2"/>
      </w:pPr>
      <w:r>
        <w:t>Regeste</w:t>
      </w:r>
    </w:p>
    <w:p>
      <w:r>
        <w:t>Résumé: La saisie de gains plutôt que d'un compte bancaire se justifiait en l'espèce, dès lors que la créance en poursuite était rapidement couverte par la saisie de gains et que les avoirs bancaires étaient frappés d'un séquestre.</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 le procès-verbal de saisie. La plainte a été déposée dans le délai de dix jours dès réception du procès-verbal de saisie (art. 17 al. 2 LP) et respecte les exigences de forme prescrites par la loi (art. 9 al. 1 LaLP et art. 65 al. 1 et 2 LPA applicable par renvoi de l'art. 9 al. 4 LaLP). Par ailleurs, la Chambre a déjà eu l'occasion de préciser que l'Office peut transmettre à celle-ci toute demande de reconsidération à laquelle il n'entend pas donner suite et qui sera ensuite traitée, comme en l'espèce, comme une plainte (DCSO/101/2013 du 18 avril 2013, consid. 3). La plainte est donc recevable.</w:t>
      </w:r>
    </w:p>
    <w:p>
      <w:r>
        <w:rPr>
          <w:b/>
        </w:rPr>
        <w:t>E. 2</w:t>
      </w:r>
    </w:p>
    <w:p>
      <w:r>
        <w:t>Est litigieuse la question de savoir si l'Office a respecté les dispositions régissant la saisie, singulièrement s'il était fondé à ne pas saisir le compte bancaire que le débirentier détient auprès de la banque RAIFFEISEN.</w:t>
      </w:r>
    </w:p>
    <w:p>
      <w:r>
        <w:rPr>
          <w:b/>
        </w:rPr>
        <w:t>E. 2.1</w:t>
      </w:r>
    </w:p>
    <w:p>
      <w:r>
        <w:t>L'Office, qui est en charge de l'exécution de la saisie (art. 89 LP), doit déterminer d'office les faits pertinents pour son exécution (cf. not. ATF 108 III 10 = JdT 1984 II 18 et les références citées). Quand bien même le poursuivi est tenu par l'art. 91 al. 1 LP d'indiquer tous les biens qui lui appartiennent, même ceux qui ne sont pas en sa possession, il doit adopter un comportement actif et une position critique dans l'exécution de la saisie, de sorte</w:t>
      </w:r>
    </w:p>
    <w:p>
      <w:r>
        <w:t>- 5/7 -</w:t>
      </w:r>
    </w:p>
    <w:p>
      <w:r>
        <w:t>A/550/2014-CS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GILLIERON, Commentaire, n. 12 ad art. 91).</w:t>
      </w:r>
    </w:p>
    <w:p>
      <w:r>
        <w:rPr>
          <w:b/>
        </w:rPr>
        <w:t>E. 2.2</w:t>
      </w:r>
    </w:p>
    <w:p>
      <w:r>
        <w:t>Selon l'art. 95 LP, la saisie porte au premier chef sur les biens meubles, y compris les créances et les droits relativement saisissables (art. 93 LP); les objets de valeur courante doivent être saisis les premiers, ceux dont le débiteur peut se passer plus aisément, de préférence à ceux dont il pourrait difficilement se priver (al. 1). Les immeubles ne sont saisis qu'à défaut de biens meubles suffisants pour couvrir la créance (al. 2). Le préposé peut s'écarter de cet ordre lorsque les circonstances le justifient ou que le créancier et le débiteur le demandent conjointement (al. 4bis). En général, le fonctionnaire qui procède à la saisie doit concilier autant que possible les intérêts du créancier et ceux du débiteur (al. 5). Un des buts de l'art. 95 LP est de mettre sous mains de justice les actifs les plus aisément réalisables dans l'intérêt des créanciers (ATF 117 III 61 consid. 2). La violation des règles sur l'ordre de la saisie de l'art. 95 LP peut être soulevée par la voie de la plainte à l'autorité de surveillance et seuls le débiteur et le créancier ont qualité pour porter plainte, car ils sont seuls susceptibles d'être lésés. La plainte peut aboutir à l'exécution d'une nouvelle saisie, voire à la libération de certains biens saisis antérieurement, si la nouvelle saisie offre une couverture suffisante (GILLIERON, op. cit., n. 17 et n. 21 ss ad art. 95 LP). Par ailleurs, il ressort de l'art. 97 al. 2 LP que l'office ne doit saisir que les biens nécessaires pour satisfaire les créanciers saisissants en capital, intérêts et frais. La portée de l'art. 97 al. 2 LP se réduit à prescrire à l'office de ne pas continuer la saisie, exécutée en choisissant les droits patrimoniaux dans l'ordre fixé par l'art. 95 LP, dès qu'elle porte sur suffisamment de droits patrimoniaux pour couvrir, selon son estimation, le (les) poursuivant(s) participant à la saisie; en revanche, l'art. 97 al. 2 LP ne permet pas qu'il soit dérogé à l'ordre de saisie (GILLIERON, op. cit., n. 32 et 35 ad art. 97 LP).</w:t>
      </w:r>
    </w:p>
    <w:p>
      <w:r>
        <w:rPr>
          <w:b/>
        </w:rPr>
        <w:t>E. 2.3</w:t>
      </w:r>
    </w:p>
    <w:p>
      <w:r>
        <w:t>En l'espèce, les créances en poursuite participant à la série litigieuse comportent celle de la plaignante de 76'124 fr. 70 et celle de l'administration fiscale de 11'181 fr. 30. L'Office a, à juste titre, saisi la créance du débiteur envers Z______ Sàrl de 50'000 fr.; cette saisie n'est contestée par aucune des parties. L'Office a également saisi toute somme supérieure de 3'422 fr. 65 par mois versée par l'employeur du débiteur, ce qui représente, au vu du salaire mensuel de ce</w:t>
      </w:r>
    </w:p>
    <w:p>
      <w:r>
        <w:t>- 6/7 -</w:t>
      </w:r>
    </w:p>
    <w:p>
      <w:r>
        <w:t>A/550/2014-CS dernier de 8'260 fr. 35, un montant d'environ 4'800 fr. par mois. Compte tenu du montant de 50'000 fr., les montants en poursuite seront couverts après huit mois de saisie du salaire. Le compte de l'intimé auprès de la banque RAIFFEISEN présentait en octobre 2013 un solde de 27'432 fr. 47. Il aurait ainsi également été loisible à l'Office de saisir ce compte et de limiter d'emblée la durée de la saisie de salaire à trois mois. Une telle manière de procéder se serait toutefois révélée particulièrement invasive pour le débirentier. Or, les saisies opérées par l'Office permettent également de couvrir les créances en poursuite, dans un délai de quelques mois seulement, et laissent au débiteur la libre disposition de son compte, ce qui lui laisse la possibilité de faire face à des dépenses extraordinaires ponctuelles indispensables. La solution choisie par l'Office ne met nullement en péril le recouvrement des sommes déduites en poursuite. En particulier, il n'a pas été rendu vraisemblable que le débirentier cherchait à quitter son emploi; aucun élément nouveau n'a été apporté à cet égard par la crédirentière à la suite du jugement du Tribunal de première instance, qui expose les motifs pour lesquels ce risque doit être considéré comme n'étant pas rendu vraisemblable. Par ailleurs, l'ordre prescrit par l'art. 95 al. 1 LP a été respecté; cette disposition n'impose pas de saisir prioritairement les créances envers une institution bancaire, avant de procéder à la saisie de salaire, qui était d'ailleurs de toute manière nécessaire. Certes, la créance bancaire était immédiatement exigible. Toutefois, au moment de la saisie, les avoirs bancaires étaient frappés d'un séquestre. Il n'apparaissait donc pas opportun de saisir prioritairement ces avoirs, dont l'utilisation effective pour couvrir les créances participant à la série litigieuse demeurait incertaine. En conclusion, la solution choisie par l'Office ménage dans une mesure admissible les intérêts du débiteur et tient dûment compte de ceux de la créancière. Il n'apparaît pas non plus que l'Office ait outrepassé son pouvoir d'appréciation. Par conséquent, la plainte sera rejetée.</w:t>
      </w:r>
    </w:p>
    <w:p>
      <w:r>
        <w:rPr>
          <w:b/>
        </w:rPr>
        <w:t>E. 3</w:t>
      </w:r>
    </w:p>
    <w:p>
      <w:r>
        <w:t>La procédure de plainte est gratuite (art. 61 al. 2 let. a OELP) et il ne peut être alloué de dépens (art. 62 al. 2 OELP). * * * * *</w:t>
      </w:r>
    </w:p>
    <w:p>
      <w:r>
        <w:t>- 7/7 -</w:t>
      </w:r>
    </w:p>
    <w:p>
      <w:r>
        <w:t>A/550/2014-CS PAR CES MOTIFS, La Chambre de surveillance : A la forme : Déclare recevable la plainte formée le 18 février 2014 par Mme M______ contre le procès-verbal de saisie, série n° 13 xxxx04 M. Au fond : La rejette. Siégeant : Madame Florence KRAUSKOPF, présidente; Madame Valérie CARERA et Monsieur Philippe VEILLARD,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