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DCSO/95/2011 vom 17. Januar 2011</w:t>
      </w:r>
    </w:p>
    <w:p>
      <w:r>
        <w:t>GE Cour de justice, 2011-01-17, FR</w:t>
      </w:r>
    </w:p>
    <w:p>
      <w:r>
        <w:rPr>
          <w:b/>
        </w:rPr>
        <w:t xml:space="preserve">Quelle: </w:t>
      </w:r>
      <w:r>
        <w:t>https://mcp.opencaselaw.ch/entscheid/ge_gerichte_DCSO_95_2011</w:t>
      </w:r>
    </w:p>
    <w:p>
      <w:r>
        <w:t>FR: GE_GERICHTE DCSO/95/2011 du 17 janvier 2011</w:t>
      </w:r>
    </w:p>
    <w:p>
      <w:r>
        <w:t>IT: GE_GERICHTE DCSO/95/2011 del 17 gennaio 2011</w:t>
      </w:r>
    </w:p>
    <w:p>
      <w:pPr>
        <w:pStyle w:val="Heading2"/>
      </w:pPr>
      <w:r>
        <w:t>Regeste</w:t>
      </w:r>
    </w:p>
    <w:p>
      <w:r>
        <w:t>Résumé: La poursuivante n'a pas indiqué dans sa réquisition de poursuite le domicile de la poursuivie mais celui de la société anonyme dont elle est directrice. Elle n'a pas démontré que les conditions d'application de l'art. 50 al. 2 LP seraient réalisées. Faute d'un for à Genève, l'art. 66 LP n'est pas applicable.</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 refus de l'Office de donner suite à une réquisition de poursuite constitue une mesure sujette à plainte et la poursuivante a qualité pour agir par cette voie.</w:t>
      </w:r>
    </w:p>
    <w:p>
      <w:r>
        <w:t>Sa plainte a été déposée dans le délai prescrit et satisfait aux exigences de forme et de contenu prescrites par la loi (art. 9 al. 1 LaLP).</w:t>
      </w:r>
    </w:p>
    <w:p>
      <w:r>
        <w:t>Elle sera donc déclarée recevable.</w:t>
      </w:r>
    </w:p>
    <w:p>
      <w:r>
        <w:rPr>
          <w:b/>
        </w:rPr>
        <w:t>E. 2</w:t>
      </w:r>
    </w:p>
    <w:p>
      <w:r>
        <w:t>LP ; enfin, des fors spéciaux peuvent encore exister dans trois cas : for de séquestre, for de la poursuite en réalisation de gage et for de la poursuite pour les dettes d'une indivision (Pierre-Robert Gilliéron, Poursuite pour dettes, faillites et concordat n° 406). En l'espèce, il est constant qu'il n'existe ni for ordinaire ni for spécial à Genève.</w:t>
      </w:r>
    </w:p>
    <w:p>
      <w:r>
        <w:t>- 5/6 -</w:t>
      </w:r>
    </w:p>
    <w:p>
      <w:r>
        <w:t>A/247/2011-AS Il s'ensuit que l'art. 66 LP, en particulier son al. 4 relatif à la notification par voie édictale, n'est, faute de for dans ce canton, pas applicable.</w:t>
      </w:r>
    </w:p>
    <w:p>
      <w:r>
        <w:rPr>
          <w:b/>
        </w:rPr>
        <w:t>E. 2.1</w:t>
      </w:r>
    </w:p>
    <w:p>
      <w:r>
        <w:t>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ou au lieu où il se trouve s'il n'a pas de domicile fixe (art. 48 LP). L'adresse exacte du poursuivi n'est autre que l'adresse postale si elle correspond au domicile réel. Cette indication est indispensable à une désignation "claire et certaine, non équivoque et excluant tout doute sur son identité" et l'office des poursuites doit refuser de donner suite à la réquisition si cette indication manque Lors de l’établissement des commandements de payer, l’office n’a pas à vérifier systématiquement l’adresse et les autres mentions que le poursuivant fait figurer sur la réquisition de poursuite. Il doit cependant vérifier qu’il est compétent pour établir et notifier le commandement de payer (Pierre-Robert Gilliéron, Commentaire, ad art. 67 n°s 23, 33 et 40 et ad art. 69 nos 30-31 ; Sabine Kofmel Ehrenzeller, in SchKG I, ad art. 67 n° 28 in initio ; ATF 120 III 60 consid. 2 ; DCSO/186/2010 du 15 avril 2010). Ces mentions sont reprises dans le commandement de payer (art. 69 al. 2 ch. 1 LP).</w:t>
      </w:r>
    </w:p>
    <w:p>
      <w:r>
        <w:rPr>
          <w:b/>
        </w:rPr>
        <w:t>E. 2.2</w:t>
      </w:r>
    </w:p>
    <w:p>
      <w:r>
        <w:t>En l'espèce, la plaignante n'a pas indiqué dans sa réquisition de poursuite le domicile de la poursuivie, mais celui de la société, sise à Genève, dont elle est directrice.</w:t>
      </w:r>
    </w:p>
    <w:p>
      <w:r>
        <w:t>Force est en conséquence de retenir que cet acte n'est pas conforme aux exigences rappelées ci-dessus.</w:t>
      </w:r>
    </w:p>
    <w:p>
      <w:r>
        <w:rPr>
          <w:b/>
        </w:rPr>
        <w:t>E. 2.3</w:t>
      </w:r>
    </w:p>
    <w:p>
      <w:r>
        <w:t>L'engagement et le déroulement d'une procédure d'exécution forcée supposent l'existence d'un for de la poursuite contre le poursuivi. La LP définit le for ordinaire de la poursuite (art. 46 LP) et un nombre limité de fors spéciaux (art. 48 à 52 LP).</w:t>
      </w:r>
    </w:p>
    <w:p>
      <w:r>
        <w:t>- 4/6 -</w:t>
      </w:r>
    </w:p>
    <w:p>
      <w:r>
        <w:t>A/247/2011-AS</w:t>
      </w:r>
    </w:p>
    <w:p>
      <w:r>
        <w:rPr>
          <w:b/>
        </w:rPr>
        <w:t>E. 2.3.1</w:t>
      </w:r>
    </w:p>
    <w:p>
      <w:r>
        <w:t>A l'appui de sa plainte, la plaignante invoque l'art. 50 al. 2 LP. Aux termes de cette disposition,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Pierre-Robert Gilliéron, Commentaire, ad art. 50 n. 40). L'élection doit se rapporter à une ou des obligations spécifiées envers un créancier déterminé (ATF 119 III 54 consid. 2e; 107 III 53 consid. 4a; arrêt 7B.55/2006 du 21 septembre 2006 consid. 2.2.1 et les références citées). En l'occurrence, la plaignante - qui n'a pas fait mention de l'art. 50 al. 2 LP dans sa réquisition de poursuite -, ne produit aucune pièce permettant d'établir que, pour la créance objet de la poursuite considérée, la poursuivie aurait manifesté sa volonté de se soumettre à l'exécution forcée en Suisse. Il s'ensuit que la plaignante n'a pas démontré que les conditions posées à l'art. 50 al. 2 LP étaient réalisées.</w:t>
      </w:r>
    </w:p>
    <w:p>
      <w:r>
        <w:rPr>
          <w:b/>
        </w:rPr>
        <w:t>E. 2.4</w:t>
      </w:r>
    </w:p>
    <w:p>
      <w:r>
        <w:t>La plaignante soutient encore que, dans la mesure où le commandement de payer dirigé contre la société (poursuite n° 11 xxxx87 V) dont la poursuivie est directrice a pu être notifié à cette dernière, il existe un for de la poursuite à Genève et que la notification du commandement de payer dirigée contre celle-ci (poursuite n° 11 xxxx89 T) peut être effectuée à son lieu de travail, le cas échéant, par voie de publication. Or, elle confond manifestement les notions de for de la poursuite et de lieu de notification des actes de poursuites, qui ne sont pas identiques et ne coïncident pas forcément.</w:t>
      </w:r>
    </w:p>
    <w:p>
      <w:r>
        <w:rPr>
          <w:b/>
        </w:rPr>
        <w:t>E. 2.4.1</w:t>
      </w:r>
    </w:p>
    <w:p>
      <w:r>
        <w:t>Comme il vient d'être rappelé, l'engagement et le déroulement d'une procédure d'exécution forcée supposent l'existence d'un for de la poursuite contre le poursuivi. Si le débiteur est domicilié en Suisse, le for ordinaire est à son domicile personnel civil (art. 46 LP) ; si le débiteur n'a pas de domicile fixe, ni en Suisse, ni à l'étranger, le for est au lieu où il se trouve, c'est-à-dire au lieu de sa résidence (art. 48 LP) ; si le débiteur est domicilié à l'étranger, il ne peut être poursuivi en Suisse, sous réserve des deux exceptions prévues aux art. 50 al. 1 et</w:t>
      </w:r>
    </w:p>
    <w:p>
      <w:r>
        <w:rPr>
          <w:b/>
        </w:rPr>
        <w:t>E. 3</w:t>
      </w:r>
    </w:p>
    <w:p>
      <w:r>
        <w:t>Infondée, la plainte doit être rejetée.</w:t>
      </w:r>
    </w:p>
    <w:p>
      <w:r>
        <w:t>* * * * *</w:t>
      </w:r>
    </w:p>
    <w:p>
      <w:r>
        <w:t>- 6/6 -</w:t>
      </w:r>
    </w:p>
    <w:p>
      <w:r>
        <w:t>A/247/2011-AS</w:t>
      </w:r>
    </w:p>
    <w:p>
      <w:r>
        <w:t>PAR CES MOTIFS, L'Autorité de surveillance : A la forme : Déclare recevable la plainte formée le 27 janvier 2011 par A______ LTD contre le refus de l'Office des poursuites de donner suite à la réquisition de poursuite n° 11 xxxx89 T. Au fond : La rejette. Déboute la plaignante de toutes autres conclusions.</w:t>
      </w:r>
    </w:p>
    <w:p>
      <w:r>
        <w:t>Siégeant : Madame Ariane WEYENETH, présidente ; Messieurs Philipp GANZONI et Philippe VEILLARD,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