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DCSO/93/2016 vom 3. Dezember 2015</w:t>
      </w:r>
    </w:p>
    <w:p>
      <w:r>
        <w:t>GE Cour de justice, 2015-12-03, FR</w:t>
      </w:r>
    </w:p>
    <w:p>
      <w:r>
        <w:rPr>
          <w:b/>
        </w:rPr>
        <w:t xml:space="preserve">Quelle: </w:t>
      </w:r>
      <w:r>
        <w:t>https://mcp.opencaselaw.ch/entscheid/ge_gerichte_DCSO_93_2016</w:t>
      </w:r>
    </w:p>
    <w:p>
      <w:r>
        <w:t>FR: GE_GERICHTE DCSO/93/2016 du 3 décembre 2015</w:t>
      </w:r>
    </w:p>
    <w:p>
      <w:r>
        <w:t>IT: GE_GERICHTE DCSO/93/2016 del 3 dicembre 2015</w:t>
      </w:r>
    </w:p>
    <w:p>
      <w:pPr>
        <w:pStyle w:val="Heading2"/>
      </w:pPr>
      <w:r>
        <w:t>Regeste</w:t>
      </w:r>
    </w:p>
    <w:p>
      <w:r>
        <w:t>Résumé: Nullité de la poursuite pour abus de droit : in casu non.</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2.1</w:t>
      </w:r>
    </w:p>
    <w:p>
      <w:r>
        <w:t>Selon la jurisprudence, la nullité d'une poursuite pour abus de droit (art. 2 al. 2 CC) ne peut être admise par les autorités de surveillance que dans des cas</w:t>
      </w:r>
    </w:p>
    <w:p>
      <w:r>
        <w:t>- 8/10 -</w:t>
      </w:r>
    </w:p>
    <w:p>
      <w:r>
        <w:t>A/4212/2015-CS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arrêt du Tribunal fédéral 5A_595/2012 du 24 octobre 2012 consid. 4, reproduit in SJ 2013 I 188 ss; DCSO/171/2010 du 1er avril 2010, reproduite in BlSchK 2011 p. 118 consid. 3). En revanche,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SJ 2013 I 190; arrêts du Tribunal fédéral 5A_76/2013 du 15 mars 2013 consid. 3.1; 5A_890/2012 du 5 mars 2013 consid. 5.3; 5A_588/2011 du 18 novembre 2011 consid. 3.2; 5A_250/2007 du 19 septembre 2007 consid. 3.1; BlSchK 2011 p. 118 consid. 3). La notification d'un commandement de payer représente un moyen légal d'interrompre la prescription (art. 135 ch. 2 CO), ce qui implique qu'une réquisition de poursuite peut donc poursuivre uniquement cette fin, qui est en règle générale légitime à elle seule (cf., notamment, DCSO/455/2012 du 22 novembre 2012, cons. 3.2 in fine).</w:t>
      </w:r>
    </w:p>
    <w:p>
      <w:r>
        <w:rPr>
          <w:b/>
        </w:rPr>
        <w:t>E. 2.2</w:t>
      </w:r>
    </w:p>
    <w:p>
      <w:r>
        <w:t>p. 8), le choix du moment d'agir en reconnaissance de sa créance appartient en effet, en droit suisse, au créancier. Il en découle que le fait pour ce dernier de remettre à plus tard le moment de l'introduction d'une action en justice, et dans l'intervalle d'éviter la prescription par l'introduction à intervalles réguliers de poursuites, n'est en principe pas constitutif d'un abus de droit, à tout le moins aussi longtemps que son intention de faire valoir ses prétentions subsiste. La plaignante soutient à cet égard que l'inactivité persistante de l'intimée et le fait qu'elle n'ait encore produit aucun document de nature – selon l'appréciation de la plaignante – à établir son dommage constituent autant d'indices devant conduire à retenir l'absence d'une telle intention. Ce raisonnement ne peut toutefois être suivi. D'une part, l'inactivité de l'intimée n'est que relative. Certes, celle-ci n'a pas remis à l'assureur de la plaignante les documents que celle-ci réclame, ni n'a engagé de procédure judiciaire. Elle a toutefois adressé à l'assureur de la plaignante, le 20 juillet 2015, un courrier dont on peut comprendre sans équivoque qu'elle entend toujours faire valoir ses prétentions. D'autre part, cette inactivité relative peut avoir d'autres explications qu'une absence d'intention de faire valoir ses prétentions. Elle peut notamment tenir à une difficulté à réunir les moyens de preuve nécessaires à l'introduction d'une action en justice ou à la reprise de négociations avec l'assureur de la plaignante, difficulté pouvant être aggravée par un manque de moyens financiers, par un changement de conseil, par une désorganisation personnelle ou – comme l'allègue l'intimée – par un manque d'énergie. Admettre, comme le voudrait la plaignante, que l'absence d'intention de l'intimée de faire valoir ses prétentions doive être déduite de l'absence de démarches en ce sens pendant un laps de temps plus ou moins long reviendrait en réalité à lui imposer un délai pour agir, ce que le droit suisse ne prévoit pas. A l'instar des deux précédentes, la plainte formée le 3 décembre 2015 par la plaignante devra ainsi être rejetée, aucune circonstance permettant de conclure à l'utilisation de la procédure d'exécution forcée à des fins contraire à sa finalité n'étant établie.</w:t>
      </w:r>
    </w:p>
    <w:p>
      <w:r>
        <w:rPr>
          <w:b/>
        </w:rPr>
        <w:t>E. 3</w:t>
      </w:r>
    </w:p>
    <w:p>
      <w:r>
        <w:t>La procédure de plainte est gratuite (art. 20a al. 2 ch. 5 LP et art. 61 al. 2 let. a OELP) et il ne peut être alloué aucuns dépens dans cette procédure (art. 62 al. 2 OELP). * * * * *</w:t>
      </w:r>
    </w:p>
    <w:p>
      <w:r>
        <w:t>- 10/10 -</w:t>
      </w:r>
    </w:p>
    <w:p>
      <w:r>
        <w:t>A/4212/2015-CS PAR CES MOTIFS, La Chambre de surveillance : A la forme : Déclare recevable la plainte formée le 3 décembre 2015 par Mme B______ contre le commandement de payer, poursuite n° 15 xxxx72 J. Au fond : La rejette. Siégeant : Monsieur Patrick CHENAUX, président; Madame Natalie OPPATJA et Monsieur Claude MARCET,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