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DCSO/93/2015 vom 5. August 2014</w:t>
      </w:r>
    </w:p>
    <w:p>
      <w:r>
        <w:t>GE Cour de justice, 2014-08-05, FR</w:t>
      </w:r>
    </w:p>
    <w:p>
      <w:r>
        <w:rPr>
          <w:b/>
        </w:rPr>
        <w:t xml:space="preserve">Quelle: </w:t>
      </w:r>
      <w:r>
        <w:t>https://mcp.opencaselaw.ch/entscheid/ge_gerichte_DCSO_93_2015</w:t>
      </w:r>
    </w:p>
    <w:p>
      <w:r>
        <w:t>FR: GE_GERICHTE DCSO/93/2015 du 5 août 2014</w:t>
      </w:r>
    </w:p>
    <w:p>
      <w:r>
        <w:t>IT: GE_GERICHTE DCSO/93/2015 del 5 agosto 2014</w:t>
      </w:r>
    </w:p>
    <w:p>
      <w:pPr>
        <w:pStyle w:val="Heading2"/>
      </w:pPr>
      <w:r>
        <w:t>Erwägungen</w:t>
      </w:r>
    </w:p>
    <w:p>
      <w:r>
        <w:rPr>
          <w:b/>
        </w:rPr>
        <w:t>E. 1.1</w:t>
      </w:r>
    </w:p>
    <w:p>
      <w:r>
        <w:t>Dans le cadre d'une poursuite en réalisation de gage, et en application de l'art. 97 al. 1 LP, applicable par renvoi de l'art. 155 LP, l'Office procède à l'estimation des biens immobiliers saisis, cela à la suite du dépôt de la réquisition de vente (art. 99 al. 1 ORFI; arrêt du Tribunal fédéral 5A_854/2010 du 3 mai 2011, consid. 3.2; GILLIERON, Commentaire de la loi sur la poursuite pour dettes et la faillite, n. 174 ad art. 140 LP; FOËX, in CR-LP, n. 17 ad art. 155 LP).</w:t>
      </w:r>
    </w:p>
    <w:p>
      <w:r>
        <w:t>Selon l'art. 9 al. 1 ORFI, l'estimation doit déterminer la valeur vénale présumée de l'immeuble et de ses accessoires, sans égard au montant de la taxe cadastrale ou de la taxe de l'assurance contre l'incendie.</w:t>
      </w:r>
    </w:p>
    <w:p>
      <w:r>
        <w:t>Cela étant, en application de l'art. 9 al. 2 ORFI et 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là d'un droit inconditionnel (arrêt du Tribunal fédéral 7B.163/2005 du 19 décembre 2005, consid. 1).</w:t>
      </w:r>
    </w:p>
    <w:p>
      <w:r>
        <w:rPr>
          <w:b/>
        </w:rPr>
        <w:t>E. 1.2</w:t>
      </w:r>
    </w:p>
    <w:p>
      <w:r>
        <w:t>En l'espèce, après avoir eu connaissance du résultat de l'expertise réalisée par l'architecte mandaté par l'Office, la poursuivie a requis de la Chambre de surveillance, dans les délai et forme prescrits par la loi, qu'une nouvelle estimation</w:t>
      </w:r>
    </w:p>
    <w:p>
      <w:r>
        <w:t>- 5/8 -</w:t>
      </w:r>
    </w:p>
    <w:p>
      <w:r>
        <w:t>A/3402/2014-CS de la valeur vénale du bien immobilier gagé soit effectuée par un expert. Elle a en outre payé en temps utile l'avance de frais fixée par ordonnance du 11 novembre 2014 faisant suite à sa requête.</w:t>
      </w:r>
    </w:p>
    <w:p>
      <w:r>
        <w:t>Cette demande de nouvelle expertise est dès lors recevable.</w:t>
      </w:r>
    </w:p>
    <w:p>
      <w:r>
        <w:rPr>
          <w:b/>
        </w:rPr>
        <w:t>E. 2.1</w:t>
      </w:r>
    </w:p>
    <w:p>
      <w:r>
        <w:t>La valeur d'estimation d'un bien immobilier doit être fixée en fonction du produit prévisible de sa vente aux enchères forcées (DE GOTTRAU, in CR-LP, n. 6 et 8 ad art. 97 LP; FOËX, op. cit., n. 16 ad art. 155 LP).</w:t>
      </w:r>
    </w:p>
    <w:p>
      <w:r>
        <w:t>L'estimation du bien à réaliser aux enchères ne vise pas à déterminer si celui-ci devrait suffire à couvrir la créance à recouvrer ou excéderait cette couverture et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op. cit., n° 16 ad art. 97 LP; FOËX, in SchKG I, édition 2010, n° 2 ad art. 97 LP).</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Dans le cas d'espèce, il y a lieu de constater que les deux experts officiels, l'un mandaté par l'Office et le second par la Chambre de céans, prima facie de compétence égale, ont abouti à un résultat relativement similaire puisque l'écart séparant les valeurs d'estimation qu'ils ont retenues n'est que d'environ 2.2%. L'expertise privée réalisée par D______ SA, dont les compétences ne sont pas connues de la Chambre de surveillance, aboutit en revanche à un résultat supérieur d'environ 13,6% à la plus élevée des deux estimations résultant des expertises</w:t>
      </w:r>
    </w:p>
    <w:p>
      <w:r>
        <w:t>- 6/8 -</w:t>
      </w:r>
    </w:p>
    <w:p>
      <w:r>
        <w:t>A/3402/2014-CS ordonnées par les autorités de poursuite, soit l'expertise B______ : il en résulte que ses conclusions ne pourront servir de fondement à l'estimation de la valeur vénale de l'immeuble mais tout au plus être prises en considération à titre indicatif dans le cadre de l'examen des expertises P______ et B______.</w:t>
      </w:r>
    </w:p>
    <w:p>
      <w:r>
        <w:t>Comme le relève à cet égard la poursuivie, ces expertises se distinguent notamment par la valeur attribuée au terrain, soit 1'500 fr. par m2 pour l'expertise P______ et 1'600 fr. par m2 pour l'expertise B______. La Chambre de céans se ralliera à cet égard à l'expertise B______, dans la mesure où d'une part elle est plus récente que l'expertise P______, l'expert étant ainsi mieux à même de tenir compte des fluctuations des prix de l'immobilier, et où d'autre part elle est plus proche du chiffre retenu par D______ SA, quand bien même ce dernier, fondé apparemment sur des offres et des transactions observées sur le marché de gré à gré, ne peut être sans autre transposé à l'estimation d'une valeur vénale dans le cadre d'une réalisation forcée.</w:t>
      </w:r>
    </w:p>
    <w:p>
      <w:r>
        <w:t>La Chambre de surveillance retiendra également l'expertise B______ pour ce qui est de la valeur des constructions, l'appréciation de l'expert à cet égard se rapprochant, notamment s'agissant du taux de vétusté, de celle de D______ SA.</w:t>
      </w:r>
    </w:p>
    <w:p>
      <w:r>
        <w:t>La valeur d'estimation de l'immeuble sera donc fixée à 10'940'000 fr., ainsi qu'il résulte de l'expertise B______.</w:t>
      </w:r>
    </w:p>
    <w:p>
      <w:r>
        <w:rPr>
          <w:b/>
        </w:rPr>
        <w:t>E. 3</w:t>
      </w:r>
    </w:p>
    <w:p>
      <w:r>
        <w:t>Le second expert a arrêté ses honoraires à 1'650 fr., montant qui paraît conforme aux tarifs usuellement pratiqués dans la branche. Sa note d'honoraires du 30 décembre 2014 peut donc être approuvée.</w:t>
      </w:r>
    </w:p>
    <w:p>
      <w:r>
        <w:t>La nouvelle expertise ayant été requise par la débitrice poursuivie, son coût restera à la charge de cette dernière (art. 9 al. 1 1ère phr. ORFI), étant précisé qu'elle en a d'ores et déjà fait l'avance. * * * * *</w:t>
      </w:r>
    </w:p>
    <w:p>
      <w:r>
        <w:t>- 7/8 -</w:t>
      </w:r>
    </w:p>
    <w:p>
      <w:r>
        <w:t>A/3402/2014-CS PAR CES MOTIFS, La Chambre de surveillance : A la forme : Déclare recevable la demande de nouvelle expertise formée le 7 novembre 2014 par Mme K______ dans le cadre de la poursuite en réalisation de gage immobilier no 13 xxxx34 N. Au fond : Fixe à 10'940'000 fr. la valeur de réalisation estimée de la parcelle n° xx23 feuille x5 de la commune de Z______. Fixe à 1'650 fr. les frais de la nouvelle expertise établie par M. B______. Met ces frais à la charge de Mme K______ et les compense avec l'avance de même montant qu'elle a fournie. Siégeant : Monsieur Patrick CHENAUX, président; Monsieur Philipp GANZONI et Monsieur Denis KELLER, juges assesseurs; Madame Véronique PISCETTA, greffière.</w:t>
      </w:r>
    </w:p>
    <w:p>
      <w:r>
        <w:t>Le président : Patrick CHENAUX</w:t>
      </w:r>
    </w:p>
    <w:p>
      <w:r>
        <w:t>La greffière : Véronique PISCETTA</w:t>
      </w:r>
    </w:p>
    <w:p>
      <w:r>
        <w:t>- 8/8 -</w:t>
      </w:r>
    </w:p>
    <w:p>
      <w:r>
        <w:t>A/3402/2014-CS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