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DCSO/92/2016 vom 2. November 2015</w:t>
      </w:r>
    </w:p>
    <w:p>
      <w:r>
        <w:t>GE Cour de justice, 2015-11-02, FR</w:t>
      </w:r>
    </w:p>
    <w:p>
      <w:r>
        <w:rPr>
          <w:b/>
        </w:rPr>
        <w:t xml:space="preserve">Quelle: </w:t>
      </w:r>
      <w:r>
        <w:t>https://mcp.opencaselaw.ch/entscheid/ge_gerichte_DCSO_92_2016</w:t>
      </w:r>
    </w:p>
    <w:p>
      <w:r>
        <w:t>FR: GE_GERICHTE DCSO/92/2016 du 2 novembre 2015</w:t>
      </w:r>
    </w:p>
    <w:p>
      <w:r>
        <w:t>IT: GE_GERICHTE DCSO/92/2016 del 2 novembre 2015</w:t>
      </w:r>
    </w:p>
    <w:p>
      <w:pPr>
        <w:pStyle w:val="Heading2"/>
      </w:pPr>
      <w:r>
        <w:t>Regeste</w:t>
      </w:r>
    </w:p>
    <w:p>
      <w:r>
        <w:t>Résumé: Assiette du séquestre.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(art. 9 al. 1 LaLP; art. 65 al. 1 LPA, applicable par renvoi de l'art. 9 al. 4 LaLP), dans les dix jours de celui où le plaignant a eu connaissance de la mesure (art. 17 al. 2 LP). Elle peut également être déposée en tout temps en cas de nullité de l'acte contesté (art. 22 al. 1 LP).</w:t>
      </w:r>
    </w:p>
    <w:p>
      <w:r>
        <w:t>La plainte doit être motivée (art. 9 al. 2 LaLP; art. 65 al. 2 LPA), en ce sens qu'elle doit comporter une critique intelligible et explicite de la mesure attaquée (ERARD, in CR LP, n° 33 ad art. 17 LP). La motivation doit ressortir de la plainte elle-même, le plaignant ne pouvant se contenter d'une référence ou d'un renvoi à des pièces ou à des écritures déposées dans des procédures antérieures (arrêt du Tribunal fédéral 5A_209/2014 du 2 septembre 2014 cons. 4.2.1, avec références).</w:t>
      </w:r>
    </w:p>
    <w:p>
      <w:r>
        <w:rPr>
          <w:b/>
        </w:rPr>
        <w:t>E. 1.2</w:t>
      </w:r>
    </w:p>
    <w:p>
      <w:r>
        <w:t>En l'occurrence, la plainte a été formée en temps utile devant l'autorité compétente pour en connaître par une partie touchée dans ses intérêts</w:t>
      </w:r>
    </w:p>
    <w:p>
      <w:r>
        <w:t>- 4/7 -</w:t>
      </w:r>
    </w:p>
    <w:p>
      <w:r>
        <w:t>A/4476/2015-CS juridiquement protégés. Elle respecte la forme écrite et vise une mesure de l'Office pouvant être contestée par cette voie.</w:t>
      </w:r>
    </w:p>
    <w:p>
      <w:r>
        <w:t>Dans la mesure où, en relation avec la motivation de sa plainte, la plaignante se borne à renvoyer à une précédente procédure, son procédé n'est pas admissible. La plainte comporte toutefois une motivation, sommaire mais suffisante, dès lors que la plaignante dénonce "l'exorbitance du montant séquestré par rapport à la créance invoquée".</w:t>
      </w:r>
    </w:p>
    <w:p>
      <w:r>
        <w:t>Elle est donc recevable.</w:t>
      </w:r>
    </w:p>
    <w:p>
      <w:r>
        <w:rPr>
          <w:b/>
        </w:rPr>
        <w:t>E. 2</w:t>
      </w:r>
    </w:p>
    <w:p>
      <w:r>
        <w:t>La plaignante critique la fixation par l'Office de l'assiette du séquestre.</w:t>
      </w:r>
    </w:p>
    <w:p>
      <w:r>
        <w:rPr>
          <w:b/>
        </w:rPr>
        <w:t>E. 2.1</w:t>
      </w:r>
    </w:p>
    <w:p>
      <w:r>
        <w:t>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(Felix C. MEIER-DIETERLE, in KUKO SchKG, n° 7 ad art. 275 LP).</w:t>
      </w:r>
    </w:p>
    <w:p>
      <w:r>
        <w:t>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(DCSO/117/2009 cons. 2b à 2d) – de la dernière réalisation (art. 144 al. 4 LP; Michel OCHSNER, Exécution du séquestre, in JT 2006 II 77, p. 111).</w:t>
      </w:r>
    </w:p>
    <w:p>
      <w:r>
        <w:t>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GILLIERON, Commentaire, n° 95 ad art. 275 LP).</w:t>
      </w:r>
    </w:p>
    <w:p>
      <w:r>
        <w:t>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w:t>
      </w:r>
    </w:p>
    <w:p>
      <w:r>
        <w:t>- 5/7 -</w:t>
      </w:r>
    </w:p>
    <w:p>
      <w:r>
        <w:t>A/4476/2015-CS séquestrés (art. 97 al. 1 LP) se révèle trop optimiste (Markus ZOPFI, in KUKO SchKG, n° 17 ad art. 97 LP; Nicolas DE GOTTRAU, in CR LP, n° 18 ad art. 97 LP, avec les références citées).</w:t>
      </w:r>
    </w:p>
    <w:p>
      <w:r>
        <w:rPr>
          <w:b/>
        </w:rPr>
        <w:t>E. 2.2</w:t>
      </w:r>
    </w:p>
    <w:p>
      <w:r>
        <w:t>Dans le cas d'espèce, les créances pour lesquelles le séquestre a été ordonné s'élèvent à 1'852 frs. et 200 frs. en capital. Les frais de l'ordonnance de séquestre se sont élevés à 200 frs. et ceux de l'exécution du séquestre à 169 frs. 90.</w:t>
      </w:r>
    </w:p>
    <w:p>
      <w:r>
        <w:t>Selon l'ordonnance de séquestre, les créances invoquées portent intérêt au taux de 5% l'an à compter du 1er mai 2015 pour celle de 1'852 frs. et à compter du 1er juin 2015 pour celle de 200 frs. Les intérêts courus au moment de l'exécution du séquestre, soit le 10 novembre 2015, atteignaient donc 48 frs. 87 pour la première ([1'852 frs. × 5%] × 190 jours/360 jours) et 4 frs. 44 pour la seconde ([200 frs. × 5%] × 160 jours/360 jours). Pour comptabiliser les intérêts futurs, l'Office est – conformément à sa pratique (OCHSNER, op. cit., p. 111) – parti de l'idée que la poursuite en validation de séquestre et ses divers incidents, parmi lesquels la procédure en reconnaissance de dette, pourraient durer dix ans. Compte tenu des circonstances concrètes du cas d'espèce, et en particulier du fait que la question sur laquelle s'opposent les parties est essentiellement de nature juridique et que la procédure au fond les opposant ne devrait donc pas nécessiter des mesures probatoires de longue durée, telles que l'envoi de commissions rogatoires à l'étranger, cette durée paraît excessive et sera ramenée à sept ans. Les intérêts futurs devant être pris en considération sont ainsi de 648 frs. 20 pour la première créance (1'852 frs. × 5% × 7) et de 70 frs. (200 frs. × 5% × 7) pour la seconde. La somme des intérêts à prendre en compte est ainsi de 771 frs. 50 (48 frs. 87 + 4 frs. 44 + 648 frs. 20 + 70 frs.).</w:t>
      </w:r>
    </w:p>
    <w:p>
      <w:r>
        <w:t>Au titre des frais de poursuite, l'Office a pris en considération, outre des "frais de l'office" non précisés – et non critiqués – de 16 frs. 75, un montant de 10'000 frs. au titre d' "éventuels frais de procédure opposition et mainlevée". Dans la mesure où, comme relevé ci-dessus, seuls les frais relatifs à une procédure sommaire de mainlevée doivent être pris en compte pour fixer l'assiette du séquestre, cette dernière somme paraît exagérée. Pour une valeur litigieuse inférieure à 10'000 frs., l'émolument perçu dans le cadre d'une telle procédure ne devrait pas excéder 300 frs. pour la première instance (art. 48 OELP) et 450 frs. pour la seconde instance (art. 61 al. 1 OELP). En cas de recours au Tribunal fédéral, les frais seront également fixés en fonction – notamment – de la valeur litigieuse (art. 66 al. 2 LTF), de telle sorte qu'ils ne devraient pas excéder 1'000 frs. Sous certaines conditions (art. 95 al. 3 let. b et c CPC et art. 68 al. 2 LTF), l'intimé pourrait également prétendre à l'octroi de dépens en première et deuxième instance cantonale ainsi que devant le Tribunal fédéral : un réserve d'environ 3'000 frs. à ce titre parait toutefois suffisante au regard, une fois encore, de la faible valeur litigieuse. Les frais de poursuite au sens de l'art. 97 al. 2 LP peuvent ainsi être</w:t>
      </w:r>
    </w:p>
    <w:p>
      <w:r>
        <w:t>- 6/7 -</w:t>
      </w:r>
    </w:p>
    <w:p>
      <w:r>
        <w:t>A/4476/2015-CS évalués à 5'000 frs. (16 frs. 75 + 300 frs. + 450 frs. + 1'000 frs. + 3'000 frs. = 4'766 frs. 75, arrondis à 5'000 frs.).</w:t>
      </w:r>
    </w:p>
    <w:p>
      <w:r>
        <w:t>L'assiette du séquestre pouvait ainsi raisonnablement être fixée à un montant de 8'200 frs. (1'852 frs. + 200 frs. + 200 frs. + 169 frs. 90 + 771 frs. 50 + 5'000 frs. = 8'193 frs. 40, arrondis à 8'200 frs.). En l'arrêtant à une somme de 13'348 frs. 05, supérieure de plus de 60% à ce montant, l'Office a excédé son pouvoir d'appréciation. La plainte doit dès lors être admise. L'assiette du séquestre sera nouvellement fixée à 8'200 frs.</w:t>
      </w:r>
    </w:p>
    <w:p>
      <w:r>
        <w:rPr>
          <w:b/>
        </w:rPr>
        <w:t>E. 3</w:t>
      </w:r>
    </w:p>
    <w:p>
      <w:r>
        <w:t>La procédure de plainte est gratuite (art. 20a al. 2 ch. 5 LP et art. 61 al. 2 let. a OELP) et il ne peut être alloué aucuns dépens dans cette procédure (art. 62 al. 2 OELP). * * * * *</w:t>
      </w:r>
    </w:p>
    <w:p>
      <w:r>
        <w:t>- 7/7 -</w:t>
      </w:r>
    </w:p>
    <w:p>
      <w:r>
        <w:t>A/4476/2015-CS PAR CES MOTIFS, La Chambre de surveillance : A la forme : Déclare recevable la plainte formée le 21 décembre 2015 par Mme F______ contre le procès-verbal de séquestre n° 15 xxxxx7 G, en tant que celui-ci fixe l'assiette du séquestre. Au fond : L'admet. Fixe à 8'200 frs. l'assiette du séquestre. Siégeant : Monsieur Patrick CHENAUX, président; Madame Natalie OPPATJA et Monsieur Claude MARCET,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