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DCSO/8/2025 vom 16. Januar 2025</w:t>
      </w:r>
    </w:p>
    <w:p>
      <w:r>
        <w:t>GE Cour de justice, 2025-01-16, FR</w:t>
      </w:r>
    </w:p>
    <w:p>
      <w:r>
        <w:rPr>
          <w:b/>
        </w:rPr>
        <w:t xml:space="preserve">Quelle: </w:t>
      </w:r>
      <w:r>
        <w:t>https://mcp.opencaselaw.ch/entscheid/ge_gerichte_DCSO_8_2025</w:t>
      </w:r>
    </w:p>
    <w:p>
      <w:r>
        <w:t>FR: GE_GERICHTE DCSO/8/2025 du 16 janvier 2025</w:t>
      </w:r>
    </w:p>
    <w:p>
      <w:r>
        <w:t>IT: GE_GERICHTE DCSO/8/2025 del 16 gennaio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La plaignante reproche à l'Office de n'avoir pas donné suite à sa demande de refuser à son ex-époux tout accès aux dossiers la concernant.</w:t>
      </w:r>
    </w:p>
    <w:p>
      <w:r>
        <w:rPr>
          <w:b/>
        </w:rPr>
        <w:t>E. 2.1</w:t>
      </w:r>
    </w:p>
    <w:p>
      <w:r>
        <w:t>Toute personne peut consulter les procès-verbaux et les registres des offices des poursuites et des offices des faillites et s'en faire délivrer des extraits à condition qu'elle rende son intérêt vraisemblable (art. 8a al. 1 LP). Le droit aux renseignements en matière d'exécution forcée présuppose un intérêt particulier (personnel), digne de protection et actuel (ATF 115 III 81 consid. 2, JdT 1992 II 7; TF, 5A_83/2010 du 11 mars 2010, consid. 6.3).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(GILLIÉRON, Commentaire LP, n. 6 et 10 ad art. 8a LP; cf. aussi not. ATF 91 III 94, JdT 1966 II 8-9 consid 1; 93 III 4, JdT 1967 II 37). La question du droit à la consultation et son étendue doit être tranchée de cas en cas en se fondant sur la justification de l'intérêt à la consultation; l'accès au dossier doit, en outre, respecter le principe de la proportionnalité (ATF 135 III 503 consid. 3).</w:t>
      </w:r>
    </w:p>
    <w:p>
      <w:r>
        <w:rPr>
          <w:b/>
        </w:rPr>
        <w:t>E. 2.2</w:t>
      </w:r>
    </w:p>
    <w:p>
      <w:r>
        <w:t>En l'espèce, la décision de l'Office de ne pas refuser tout accès aux dossiers de la plaignante à l'ex-époux de cette dernière est conforme aux principes posés par l'art. 8a LP en matière de droit aux renseignements en matière d'exécution forcée. L'Office ne peut, en effet, pas refuser tout accès à l'ex-époux de la plaignante, notamment lorsque celui-ci est partie à la procédure d'exécution forcée et dispose d'un intérêt vraisemblable à la consultation. Il incombe en effet à l'Office d'examiner de cas en cas si une partie sollicitant la consultation d'un dossier dispose d'un intérêt à obtenir de tels renseignements, ce que l'Office a relevé en précisant qu'il était conscient de la problématique opposant les ex-époux, qu'il</w:t>
      </w:r>
    </w:p>
    <w:p>
      <w:r>
        <w:t>- 4/5 -</w:t>
      </w:r>
    </w:p>
    <w:p>
      <w:r>
        <w:t>A/3553/2024-CS avait déjà refusé à B______ d'accéder aux dossier lorsque les démarches de ce dernier lui étaient apparues investigatoires et qu'il continuerait à faire preuve de diligence dans ce cadre.</w:t>
      </w:r>
    </w:p>
    <w:p>
      <w:r>
        <w:t>La plaignante ne saurait en particulier être suivie lorsqu'elle fonde sa requête tendant à ce que l'Office refuse tout accès aux dossiers la concernant à son ex- époux sur la loi genevoise sur l'information du public, l'accès aux documents et la protection des données personnelles, puisque le droit de consultation litigieux dans le cas d'espèce est réglé par le droit fédéral en l'art. 8a LP, qui prime le droit cantonal et est d'ailleurs réservé par l'art. 3 al. 5 LIPD. La plainte, mal fondée, doit en conséquence être rejetée.</w:t>
      </w:r>
    </w:p>
    <w:p>
      <w:r>
        <w:rPr>
          <w:b/>
        </w:rPr>
        <w:t>E. 3</w:t>
      </w:r>
    </w:p>
    <w:p>
      <w:r>
        <w:t>La procédure de plainte est gratuite (art. 20a al. 2 ch. 5 LP et art. 61 al. 2 let. a OELP) et il n'est alloué aucun dépens dans cette procédure (62 al. 2 OELP). * * * * *</w:t>
      </w:r>
    </w:p>
    <w:p>
      <w:r>
        <w:t>- 5/5 -</w:t>
      </w:r>
    </w:p>
    <w:p>
      <w:r>
        <w:t>A/3553/2024-CS PAR CES MOTIFS, La Chambre de surveillance :</w:t>
      </w:r>
    </w:p>
    <w:p>
      <w:r>
        <w:t>A la forme : Déclare recevable la plainte formée le 25 octobre 2024 par A______ contre le courrier que l'Office cantonal des poursuites lui a adressé le 14 octobre 2024. Au fond : La rejette. Siégeant : Madame Ursula ZEHETBAUER GHAVAMI, présidente; Messieurs Alexandre BÖHLER et Denis KELLER,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