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DCSO/89/2025 vom 20. Februar 2025</w:t>
      </w:r>
    </w:p>
    <w:p>
      <w:r>
        <w:t>GE Cour de justice, 2025-02-20, FR</w:t>
      </w:r>
    </w:p>
    <w:p>
      <w:r>
        <w:rPr>
          <w:b/>
        </w:rPr>
        <w:t xml:space="preserve">Quelle: </w:t>
      </w:r>
      <w:r>
        <w:t>https://mcp.opencaselaw.ch/entscheid/ge_gerichte_DCSO_89_2025</w:t>
      </w:r>
    </w:p>
    <w:p>
      <w:r>
        <w:t>FR: GE_GERICHTE DCSO/89/2025 du 20 février 2025</w:t>
      </w:r>
    </w:p>
    <w:p>
      <w:r>
        <w:t>IT: GE_GERICHTE DCSO/89/2025 del 20 febbraio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Selon l'art. 67 al. 1 ch. 2 LP, la réquisition de poursuite doit énoncer les nom et domicile du débiteur; c'est en premier lieu au poursuivant – et non à l'office – qu'il incombe de rechercher l'adresse du débiteur, respectivement de vérifier si l'adresse dont il dispose correspond encore à celle du domicile du débiteur; pour sa part, l'office doit vérifier les indications relatives au domicile du débiteur fournies par le créancier, dès lors que sa compétence à raison du lieu en dépend; si ces indications se révèlent inexactes ou insuffisamment précises, l'office doit impartir au poursuivant un délai aux fins de rectifier ou compléter les indications viciées, ou de lui demander les renseignements nécessaire (ATF 141 III 173 consid. 2.4 et les références citées; GILLIERON, Commentaire LP, n° 116 ad art. 67 LP).</w:t>
      </w:r>
    </w:p>
    <w:p>
      <w:r>
        <w:t>2.1.2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Toutefois, si le débiteur n'a plus en Suisse ni domicile ni lieu de séjour et que son lieu de séjour étranger est inconnu, la poursuite doit être possible au lieu de son dernier domicile en Suisse. La loi connaît en effet la notion de "for fictif" au dernier domicile connu pour le cas où un débiteur se soustrait à la poursuite par la fuite (art. 54 LP); ce for, prévu pour la faillite, s’applique également au débiteur en fuite qui n’est pas soumis à la faillite. En effet,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w:t>
      </w:r>
    </w:p>
    <w:p>
      <w:r>
        <w:t>- 6/7 -</w:t>
      </w:r>
    </w:p>
    <w:p>
      <w:r>
        <w:t>A/1859/2024-CS l'office doit donner suite à une réquisition de poursuite lorsqu'il n'existe aucune circonstance excluant la permanence du domicile suisse (ATF 120 III 110 consid. 1b; arrêt du Tribunal fédéral 7B.241/2005 du 6 mars 2006 consid. 3.1 et 3.2; DCSO/73/2019 du 8 février 2019; STOFFEL, CHABLOZ, Poursuite pour dettes et exécution spéciale, 2016, p. 92, n° 112).</w:t>
      </w:r>
    </w:p>
    <w:p>
      <w:r>
        <w:rPr>
          <w:b/>
        </w:rPr>
        <w:t>E. 2.2</w:t>
      </w:r>
    </w:p>
    <w:p>
      <w:r>
        <w:t>En l'espèce, la procédure a permis d'établir que la débitrice dispose d'un domicile et d'une adresse, à laquelle elle atteignable, en France. Il n'y a pas lieu de maintenir un for "fictif" de poursuite à Genève au sens de la jurisprudence susmentionnée. La décision entreprise est par conséquent justifiée. La plainte sera ainsi rejetée.</w:t>
      </w:r>
    </w:p>
    <w:p>
      <w:r>
        <w:rPr>
          <w:b/>
        </w:rPr>
        <w:t>E. 3</w:t>
      </w:r>
    </w:p>
    <w:p>
      <w:r>
        <w:t>La procédure devant l'autorité de surveillance est gratuite (art. 20a al. 2 ch. 5 LP; art. 61 al. 2 let. a OELP) et ne donne pas lieu à l'allocation de dépens (art. 62 al. 2 OELP). * * * * *</w:t>
      </w:r>
    </w:p>
    <w:p>
      <w:r>
        <w:t>- 7/7 -</w:t>
      </w:r>
    </w:p>
    <w:p>
      <w:r>
        <w:t>A/1859/2024-CS PAR CES MOTIFS, La Chambre de surveillance :</w:t>
      </w:r>
    </w:p>
    <w:p>
      <w:r>
        <w:t>A la forme : Déclare recevable la plainte du 31 mai 2024 de A______ contre la décision de l'Office cantonal des poursuites du 16 mai 2024, dans le cadre de la poursuite n° 5______. Au fond : La rejette. Siégeant : Monsieur Jean REYMOND, président; Messieurs Alexandre BÖHLER et Denis KELLER, juges assesseurs; Madame Véronique AMAUDRY-PISCETTA, greffière.</w:t>
      </w:r>
    </w:p>
    <w:p>
      <w:r>
        <w:t>Le président :</w:t>
      </w:r>
    </w:p>
    <w:p>
      <w:r>
        <w:t>La greffière : 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