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DCSO/84/2008 vom 28. Februar 2008</w:t>
      </w:r>
    </w:p>
    <w:p>
      <w:r>
        <w:t>GE Cour de justice, 2008-02-28, FR</w:t>
      </w:r>
    </w:p>
    <w:p>
      <w:r>
        <w:rPr>
          <w:b/>
        </w:rPr>
        <w:t xml:space="preserve">Quelle: </w:t>
      </w:r>
      <w:r>
        <w:t>https://mcp.opencaselaw.ch/entscheid/ge_gerichte_DCSO_84_2008</w:t>
      </w:r>
    </w:p>
    <w:p>
      <w:r>
        <w:t>FR: GE_GERICHTE DCSO/84/2008 du 28 février 2008</w:t>
      </w:r>
    </w:p>
    <w:p>
      <w:r>
        <w:t>IT: GE_GERICHTE DCSO/84/2008 del 28 febbraio 2008</w:t>
      </w:r>
    </w:p>
    <w:p>
      <w:pPr>
        <w:pStyle w:val="Heading2"/>
      </w:pPr>
      <w:r>
        <w:t>Regeste</w:t>
      </w:r>
    </w:p>
    <w:p>
      <w:r>
        <w:t>Résumé: Le revenu perçu par l'enfant majeur qui poursuit des études suffit à couvrir son entretien de base. Modification de la quotité saisissable.</w:t>
      </w:r>
    </w:p>
    <w:p>
      <w:pPr>
        <w:pStyle w:val="Heading2"/>
      </w:pPr>
      <w:r>
        <w:t>Erwägungen</w:t>
      </w:r>
    </w:p>
    <w:p>
      <w:r>
        <w:rPr>
          <w:b/>
        </w:rPr>
        <w:t>E. 50</w:t>
      </w:r>
    </w:p>
    <w:p>
      <w:r>
        <w:t>par mois ; frais de repas : 220 fr.), il restait 89 fr. 50 à imputer sur sa base d’entretien de 500 fr. par mois, ainsi que sa prime d’assurance-maladie mais qui était impayée. Le débiteur devait ainsi contribuer à l’entretien de son fils à raison de 410 fr. 50 par mois, montant que l’Office a considéré comme « compatible avec les ressources du débiteur ». Sur la question de la détermination du revenu, l’Office a réfuté s’être contenté des déclarations de M. S______. Il a indiqué que ce dernier lui avait remis des pièces justificatives relatives à ses rentes 2e pilier et AVS et à l’aide financière versée par ses proches. Il a toutefois admis ne pas avoir eu connaissance du montant des revenus réalisés par le débiteur de janvier à août 2006. S’agissant des remboursements effectués par les débiteurs de M. S______, l’Office a considéré qu’il s’agissait de créances saisissables en mains du débiteur et a averti le précité, sous menace des peines prévues par l’art. 169 CP, qu’elles devaient être versées à l’Office. A la demande de la plaignante, l’Office avait également interpelé une banque libanaise qui avait attestée que ni le débiteur, ni R______ SA n’avait d’autre compte que celui qui avait été déclaré. Il a enfin ajouté avoir réclamé et obtenu une confirmation écrite de Mme S______ et de Mme D______ quant à la cessation de leur aide financière. L’Office a indiqué ignorer quelles autres démarches proportionnées il pouvait entreprendre pour déterminer la situation financière de M. S______. Au vu de ce qui précède, l’Office avait retenu un revenu de 3'912 fr. par mois (rente AVS insaisissable : 538 fr. ; rente 2e pilier : 2'200 fr. ; aide financière :</w:t>
      </w:r>
    </w:p>
    <w:p>
      <w:r>
        <w:t>- 6 - 1'174 fr.) et des charges de 3'359 fr. (entretien de base du couple : 1'550 fr. ; entretien de G______ : 410 fr. 50 ; loyer : 1'399 fr.), soit une quotité saisissable de 552 fr. 50 par mois, montant arrondi à 550 fr. En annexe à son rapport, l’Office a produit un document établi par Mme D______, le 8 octobre 2007, informant M. S______ qu’elle était retournée au Liban et qu’elle ne pouvait plus l’aider financièrement, ainsi qu’un document établi par Mme S______, le 7 novembre 2007, l’informant qu’elle n’était plus en mesure de l’aider en raison de la situation économique difficile au Liban et de la naissance de son deuxième enfant prévue au mois de janvier 2008.</w:t>
      </w:r>
    </w:p>
    <w:p>
      <w:r>
        <w:t>E N D R O I T 1. La présente plainte a été déposée en temps utile et dans les formes prescrites auprès de l’autorité compétente. Un procès-verbal de saisie constitue une mesure sujette à plainte et la plaignante, en tant que poursuivante, a qualité pour agir par cette voie (art. 17 LP ; art. 56R al. 3 LOJ ; art. 10 al. 1 et 13 LaLP). Elle est donc recevable. 2.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En l'espèce, la plaignante conteste le montant des revenus du débiteur retenu par l’Office et lui fait également grief d’avoir pris en compte les frais relatifs à l’entretien de son fils majeur dans le calcul de son minimum vital. 3. L'Office qui est en charge de la saisie doit adopter un comportement actif et une position critique, de sorte qu'il ne peut pas s'en remettre, sans les vérifier aux seules déclarations du poursuivi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w:t>
      </w:r>
    </w:p>
    <w:p>
      <w:r>
        <w:t>- 7 -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L’huissier qui effectue la saisie doit se soucier que le débiteur remplisse ses devoirs en matière de saisie, en les lui rappelant et en attirant son attention sur les conséquences pénales en cas d’inobservation (art. 91 al. 1 in initio et al. 4 LP ; André E. Lebrecht, in SchKG II, ad art. 91 n° 35 ; Pierre-Robert Gilliéron, Commentaire, ad art. 91 n° 18). 4. En l’espèce, l’Office s’est rendu au domicile du débiteur et n’a pas constaté la présence de biens mobiliers saisissables. De plus, il l’a interrogé à plusieurs reprises et a réclamé des pièces justificatives corroborant ses déclarations. L’Office a également pris en compte les faits qui ont été portés à sa connaissance lors de l’audience du 15 octobre 2007, qui avait été ordonnée par la Commission de céans dans le cadre de la cause A/3010/2007. Il a ainsi interrogé une nouvelle fois le débiteur et a requis des pièces justificatives complémentaires. Il a également saisi diverses créances en mains du débiteur et l’a averti, sous menace des peines prévues par l’art. 169 CP, qu’elles devaient être versées à l’Office. L’Office a aussi obtenu une confirmation écrite des proches du débiteur en ce qui concerne l’arrêt de leur aide financière. Il a enfin interpellé la banque dans laquelle le débiteur détient un compte, mais en vain. Au vu de ce qui précède, la Commission de céans considère que l’Office ne s’est pas contenté des seules déclarations du débiteur. Il a mené les investigations que l’on pouvait raisonnablement exiger de lui et s’est appuyé sur des pièces justificatives pour déterminer le montant de ses revenus. 5.a. L’obligation pour les parents d’entretenir un enfant au-delà de sa majorité conserve un caractère exceptionnel.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 novembre 1999 cause 7B.200/1999). L’entretien n’est dû que lorsque l’enfant poursuit sa formation et que celle-ci a un caractère professionnel. En outre, l’obligation d’entretien n’existe que pour une seule formation professionnelle ; une deuxième formation, des cours de perfectionnement ou une</w:t>
      </w:r>
    </w:p>
    <w:p>
      <w:r>
        <w:t>- 8 - formation complémentaire ne sont pas compris dans ce concept, même s’ils peuvent paraître utiles. Il en va différemment, toutefois, lorsqu’il s’agit de la première et véritable formation professionnelle, même si elle commence après que le jeune a déjà gagné sa vie. Cette formation doit en outre correspondre dans ses lignes générales en tout cas à un plan de carrière fixé avant la majorité (ATF 118 II 97 ; JdT 1994 II 341).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Il convient toutefois de tenir compte des revenus réalisés par l'enfant majeur. Dans la mesure où la base d'entretien de l'enfant et ses primes d'assurance-maladie sont couvertes par de tels revenus, leur montant ne saurait être inclus dans le minimum vital des parents (SJ 2000 II 216 - 217). 5.b. En l’espèce, G______ est âgé de 22 ans. Il poursuit à l’EPFL des études qui peuvent être qualifiées de première formation à caractère professionnel. En application des principes qui précèdent, sa base d’entretien mensuel ainsi que ses primes d’assurances peuvent être inclus dans le minimum vital de ses parents. En revanche, le montant de son loyer, les taxes universitaires et ses frais de repas doivent en être écartés. Il est toutefois établi et non contesté que G______ perçoit un revenu de 1'110 fr. par mois, correspondant aux intérêts produit par le capital dont il a hérité de sa grand-mère maternelle. Or, ce montant suffit à couvrir son entretien de base et sa prime d’assurance maladie qui est, au demeurant, impayée. Au vu de ce qui précède et conformément aux principes susmentionnés, la Commission de céans considère qu’il n’y a lieu de prendre en compte dans le calcul du minimum vital du débiteur, ni les revenus ni les charges de son fils. 6.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7.a.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w:t>
      </w:r>
    </w:p>
    <w:p>
      <w:r>
        <w:t>- 9 - Une fois l’âge de la retraite atteint, le décès ou l’invalidité survenu, les rentes servies par les institutions de prévoyance professionnelle sont relativement saisissables conformément à l’art. 93 al. 1 LP (ATF non publié 7B.253/2003 du 23 décembre 2003 consid. 3.1 ; ATF 7B.234/2003 du 17 novembre 2003 consid. 3 ; ATF 128 III 467 consid. 2.3 (non publié aux ATF), JdT 2003 II 29 ; ATF 121 III 285 consid. 1b et 3, JdT 1998 II 15 ; ATF 120 III 71 consid. 2 et 3, JdT 1997 II 18 ; Michel Ochsner, in CR-LP, ad art. 93 n° 51).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CR-LP, ad art. 92, n° 147 ss). 7.b. Selon une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JdT 1980 II 16 ; ATF 97 III 16, JdT 1971 II 101 ; DCSO/734/2005 du 30 novembre 2005 ; Jean-Claude Mathey, La saisie de salaire et de revenu, § 372). 7.c. En l’espèce, le débiteur perçoit une rente AVS de 538 fr. ainsi qu’une rente complémentaire pour son fils de 215 fr., qui est versée sur son compte et qu’il ne lui reverse que lorsqu’il le peut, soit 753 fr. au total par mois. Il perçoit également une rente 2ème pilier de 2'200 fr. par mois et une aide financière de ses proches de 1'174 fr. par mois, soit 3'374 fr. au total par mois. Si les rentes AVS sont insaisissables (art. 92 al. 1 ch. 9a LP), la rente 2ème pilier et l’aide financière versée par les proches du débiteur sont, en revanche, au vu des considérants rappelés ci-dessus, relativement saisissable (art. 93 al. 1 LP). Il convient de rappeler que le débiteur assume seul les charges du couple, son épouse ne réalisant aucun revenu. 8.a. Le minimum vital d’un débiteur, qui doit être fixé en fonction des circonstances de fait existant lors de l’exécution de la saisie (ATF 7B.200/2003 du 11 novembre 2003 consid. 4 (non publié aux ATF 130 III 45) ; ATF 115 III 103, JdT 1991 II 108 consid. 1c), est déterminé sur la base des Normes d’insaisissabilité édictées par l’autorité de surveillance pour le canton de Genève, en vigueur au moment de la saisie, en l’occurrence les Normes pour l’année 2007 (RS/GE E 3 60.04).</w:t>
      </w:r>
    </w:p>
    <w:p>
      <w:r>
        <w:t>- 10 - Il convient d’ajouter à la base mensuelle selon ces normes (ch. I) le loyer effectif du logement du débiteur et les frais de chauffage (ch. II.1). Font également partie de ce minimum vital les cotisations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in SJ 2007 II 84 ss, 88 s).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8.b. Ainsi, en application des principes précités et conformément aux Normes d’insaisissabilité pour l’année 2007, les charges mensuelles du débiteur sont de 2'949 fr. (entretien de base du couple : 1'550 fr. ; loyer : 1'399 fr.). 9. La quotité saisissable du débiteur se calcule de la manière suivante (consid. 8b) : • 2'949 fr. (minimum vital) - 753 fr. (rentes AVS insaisissables entièrement affectées au minimum vital) = 2'196 fr. (part du minimum vital non couvert par la rente AVS) • 3'374 fr. (revenu saisissable) - 2'196 fr. (part du minimum vital non couvert par la rente AVS) = 1'178 fr. La quotité saisissable doit donc être fixée à 1'175 fr. (montant arrondi) par mois, soit un montant supérieur à celui fixé par l’Office. Il convient toutefois de rappeler que les décisions de la Commission de céans n’ont d’effet rétroactif qu’en faveur du débiteur (SJ 2000 II 211). 11. Au vu de ce qui précède, force est de constater que la plainte est partiellement fondée.</w:t>
      </w:r>
    </w:p>
    <w:p>
      <w:r>
        <w:t>- 11 - * * * * * P A R C E S M O T I F S , L A C O M M I S S I O N D E S U R V E I L L A N C E S I É G E A N T E N S E C T I O N : A la forme : Déclare recevable la plainte formée le 13 décembre 2007 par B______ SA contre le procès-verbal de saisie n° 06 xxxx74 V. Au fond : 1. L’admet partiellement. 2. Fixe la quotité saisissable à l’encontre de M. S______ à 1'175 fr. par mois. 3. Déboute les parties de toutes autres conclusions.</w:t>
      </w:r>
    </w:p>
    <w:p>
      <w:r>
        <w:t>Siégeant : Mme Ariane WEYENETH, présidente ; Mme Magali ORSINI et M. Philipp GANZONI, juges assesseurs. Au nom de la Commission de surveillance :</w:t>
      </w:r>
    </w:p>
    <w:p>
      <w:r>
        <w:t>Stéphane HELGEN Ariane WEYENETH Greffier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