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DCSO/75/2013 vom 29. Oktober 2012</w:t>
      </w:r>
    </w:p>
    <w:p>
      <w:r>
        <w:t>GE Cour de justice, 2012-10-29, FR</w:t>
      </w:r>
    </w:p>
    <w:p>
      <w:r>
        <w:rPr>
          <w:b/>
        </w:rPr>
        <w:t xml:space="preserve">Quelle: </w:t>
      </w:r>
      <w:r>
        <w:t>https://mcp.opencaselaw.ch/entscheid/ge_gerichte_DCSO_75_2013</w:t>
      </w:r>
    </w:p>
    <w:p>
      <w:r>
        <w:t>FR: GE_GERICHTE DCSO/75/2013 du 29 octobre 2012</w:t>
      </w:r>
    </w:p>
    <w:p>
      <w:r>
        <w:t>IT: GE_GERICHTE DCSO/75/2013 del 29 ottobre 2012</w:t>
      </w:r>
    </w:p>
    <w:p>
      <w:pPr>
        <w:pStyle w:val="Heading2"/>
      </w:pPr>
      <w:r>
        <w:t>Regeste</w:t>
      </w:r>
    </w:p>
    <w:p>
      <w:r>
        <w:t>Résumé: La Chambre de surveillance retient que le débiteur est domicilié sur France.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Un procès-verbal de non-lieu de saisie constitue une mesure sujette à plainte que la plaignante, poursuivante, a qualité pour contester par cette voie.</w:t>
      </w:r>
    </w:p>
    <w:p>
      <w:r>
        <w:t>Déposée en temps utile et dans formes prescrites (art. 9 al. 1 LLP), la plainte est recevable. 2. 2.1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w:t>
      </w:r>
    </w:p>
    <w:p>
      <w:r>
        <w:t>- 7/9 -</w:t>
      </w:r>
    </w:p>
    <w:p>
      <w:r>
        <w:t>A/3263/2012-CS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w:t>
      </w:r>
    </w:p>
    <w:p>
      <w:r>
        <w:t>2.2 Lorsque le poursuivant, à qui un acte de défaut de biens définitif après saisie a été délivré et qui est dispensé d'un nouveau commandement de payer requiert la continuation d'une nouvelle poursuite, le for de cette nouvelle poursuite est au nouveau domicile du poursuivi s'il en a changé après la communication de l'avis de saisie dans la précédente poursuite ordinaire; autrement dit, le poursuivant ne peut invoquer l'art. 53 LP, la perpetuatio fori (GILLIERON, Commentaire, n. 7 ad art. 53, n. 43 ad art. 149 et la jurisprudence citée).</w:t>
      </w:r>
    </w:p>
    <w:p>
      <w:r>
        <w:t>2.3 L'art. 46 al. 1 LP prévoit que le for ordinaire de la poursuite est au domicile du débiteur.</w:t>
      </w:r>
    </w:p>
    <w:p>
      <w:r>
        <w:t>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il faut ainsi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(arrêt du Tribunal fédéral 7B.241/2003 précité et la référence aux ATF 125 III 100 consid. 3 p. 102; 120 III 7 consid. 2b et les références; 2A.393/1999 du 28 janvier 2000, consid. 3; 2A.118/1993 du 13 février 1995, consid. 3, publié in Archives 64 p. 401, 405 s.; cf. ég. arrêt 7B.207/2003 précité, consid. 3.1). 2.4 En l'espèce, il ressort de l'instruction de la cause que le poursuivi a annoncé, auprès des autorités compétentes, son départ du territoire genevois pour le 30 avril 2012 - à cet égard, il sied de noter que l'administration fiscale cantonale genevoise</w:t>
      </w:r>
    </w:p>
    <w:p>
      <w:r>
        <w:t>- 8/9 -</w:t>
      </w:r>
    </w:p>
    <w:p>
      <w:r>
        <w:t>A/3263/2012-CS a écrit à l'intimé et à son épouse pour leur réclamer un solde d'impôts 2011 à leur nouvelle adresse en France -; à cette date, il a déménagé ses biens sur France, dans la commune de C______, où il avait loué un appartement dont le bail prenait effet le 1er mai 2012 et dont il acquitte régulièrement les loyers depuis lors; le logement qu'il occupait au xx, rue Z______ à Genève a été restitué au bailleur le 2 mai 2012; l'épouse et les enfants, tous deux majeurs, du poursuivi ont également quitté Genève le 30 avril 2012. L'intimé est titulaire d'un contrat d'assurance ménage et responsabilité et d'un contrat avec EDF pour sa résidence principale sise sur la commune française précitée, dans laquelle il est domicilié depuis le 30 avril 2012, selon l'attestation de la Mairie. Compte tenu des éléments qui précèdent, la Chambre de céans retient que, depuis le 30 avril 2012 - soit postérieurement à l'avis de saisie qui lui a été communiqué dans la précédente poursuite, à une date certes non précisée mais en tout état avant le 19 mars 2012 (cf. consid. B.c) -, le poursuivi a quitté son domicile genevois pour s'établir en France, dans la commune de C______. C'est en vain que la plaignante fait état de contradictions dans les déclarations du débiteur, telles que figurant dans les deux procès-verbaux de saisie antérieurs - au sujet desquelles ce dernier s'est expliqué lors de sa comparution personnelle -. Ces actes ont d'ailleurs fait, chacun, l'objet de plainte, étant rappelé que la première a été déclarée irrecevable (cf. consid. A. f) et la seconde retirée (consid. B. e). Au surplus, l'argument selon lequel le poursuivi n'a pas procédé à son changement d'adresse auprès du Registre du commerce pour les deux sociétés dont il est administrateur - l'une d'elle étant en faillite depuis le 11 février 2010 - est sans pertinence. C'est ainsi à bon droit que l'Office, incompétent ratione loci, a dressé un procès- verbal de non lieu de saisie La plainte sera en conséquence rejetée.</w:t>
      </w:r>
    </w:p>
    <w:p>
      <w:r>
        <w:rPr>
          <w:b/>
        </w:rPr>
        <w:t>E. 3</w:t>
      </w:r>
    </w:p>
    <w:p>
      <w:r>
        <w:t>La procédure de plainte est gratuite (art. 20a al. 2 ch. 5 LP et art. 61 al. 2 let. a OELP) et il ne peut être alloué aucun dépens dans cette procédure (art. 62 al. 2 OELP). * * * * *</w:t>
      </w:r>
    </w:p>
    <w:p>
      <w:r>
        <w:t>- 9/9 -</w:t>
      </w:r>
    </w:p>
    <w:p>
      <w:r>
        <w:t>A/3263/2012-CS PAR CES MOTIFS, La Chambre de surveillance : A la forme : Déclare recevable la plainte formée le 29 octobre 2012 par A______ SA contre le procès-verbal de non-lieu de saisie, série n° 12 xxxx01 D. Au fond : La rejette. Déboute les parties de toutes autres conclusions. Siégeant : Madame Ariane WEYENETH, présidente; Madame Valérie CARERA et Monsieur Philippe VEILLARD,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