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DCSO/73/2022 vom 23. Dezember 2016</w:t>
      </w:r>
    </w:p>
    <w:p>
      <w:r>
        <w:t>GE Cour de justice, 2016-12-23, FR</w:t>
      </w:r>
    </w:p>
    <w:p>
      <w:r>
        <w:rPr>
          <w:b/>
        </w:rPr>
        <w:t xml:space="preserve">Quelle: </w:t>
      </w:r>
      <w:r>
        <w:t>https://mcp.opencaselaw.ch/entscheid/ge_gerichte_DCSO_73_2022</w:t>
      </w:r>
    </w:p>
    <w:p>
      <w:r>
        <w:t>FR: GE_GERICHTE DCSO/73/2022 du 23 décembre 2016</w:t>
      </w:r>
    </w:p>
    <w:p>
      <w:r>
        <w:t>IT: GE_GERICHTE DCSO/73/2022 del 23 dicembre 2016</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2.1.1. Sont nulles les poursuites introduites en violation du principe de l'interdiction de l'abus de droit, tel qu'il résulte de l'art. 2 al. 2 CC (ATF 140 III</w:t>
      </w:r>
    </w:p>
    <w:p>
      <w:r>
        <w:t>- 4/7 -</w:t>
      </w:r>
    </w:p>
    <w:p>
      <w:r>
        <w:t>A/3197/2021-CS 481 consid. 2.3.1). La nullité doit être constatée en tout temps et indépendamment de toute plainte par l'autorité de surveillance (art. 22 al. 1 LP). 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L'existence d'un abus ne peut donc être reconnue que sur la base d'éléments ou d'un ensemble d'indices démontrant de façon patente que l'institution du droit de l'exécution forcée est détournée de sa finalité (ATF 140 III 481 consid. 2.3.1; ATF 115 III 18 consid. 3b; arrêts du Tribunal fédéral 5A_1020/2018 du 11 février 2019, 5A_317/2015 du 13 octobre 2015 consid. 2.1, 5A_218/2015 du 30 novembre 2015 consid. 3; DCSO/245/2021 du 17 juin 2021 consid. 3.3.1, 160/21 du 22 avril 2021, 39/21 du 4 février 2021 et 321/10 du 8 juillet 2010 consid. 3.b). En revanche, celui qui poursuit son débiteur dans le seul but d'interrompre la prescription ne commet en principe pas d'abus de droit, la notification d'un commandement de payer représentant un moyen légal pour ce faire (art. 135 ch. 2 CO; arrêt du Tribunal fédéral 5A_250/2015 précité consid. 4.2 in fine; PETER, Interrompre la prescription par une poursuite, in BlSchK 2018 p. 175 ss, 179 in fine). 2.1.2 La procédure de plainte des art. 17 ss LP ne permet par ailleurs pas d'obtenir l'annulation de la poursuite en se prévalant de l'art. 2 al. 2 CC, dans la mesure où le grief pris de l'abus de droit est invoqué à l'encontre de la créance litigieuse. L'autorité de surveillance n'est en effet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faire valoir les moyens que lui offre la procédure de poursuite, soit notamment l'opposition au commandement de payer, l'action en libération de dette, l'annulation de la poursuite, l'action en constatation de l'inexistence de la dette ou l'action en répétition de l'indu (DCSO/160/21 du 22 avril 2021 consid. 3.1, 39/21 du 4 février 2021 consid. 3.1). C'est une particularité du droit suisse que de permettre l'introduction d'une poursuite sans devoir prouver l'existence de la créance; le titre exécutoire n'est pas la créance elle-même, ni le titre qui l'incorpore cas échéant, mais seulement le commandement de payer passé en force. Il est donc pratiquement exclu que le créancier obtienne de manière</w:t>
      </w:r>
    </w:p>
    <w:p>
      <w:r>
        <w:t>- 5/7 -</w:t>
      </w:r>
    </w:p>
    <w:p>
      <w:r>
        <w:t>A/3197/2021-CS abusive l'émission d'un commandement de payer. L'Office ne peut ainsi exiger des explications sur la nature de la prétention ni refuser d'émettre un commandement de payer, même si la cause de la créance semble peu plausible voire imaginaire (parmi d'autres ATF 136 III 365 consid. 2.1, avec la jurisprudence citée, ATF 115 III 18 consid. 3b, ATF 113 III 2 consid. 2b = JdT 1989 II 120; arrêts du Tribunal fédéral 5A_250-252/2015 du 10 septembre 2015 consid. 4.1, 5A_76/2013 du 15 mars 2013 consid. 3.1, 5A_890/2012 du 5 mars 2013 consid. 5.3, 5A_595/2012 du 24 octobre 2012 consid. 5). 2.1.3 Dans le cas d'une poursuite portant sur 1'392'000 fr. au titre de dommages- intérêts et tort moral pour une injustice psychique que le poursuivant aurait subie, le Tribunal fédéral a jugé que la démarche n'était en tant que telle pas abusive, dès lors que le poursuivant avait pour objectif principal d'obtenir la somme réclamée à ce titre de la poursuivie (parce qu’elle aurait mal exécuté son obligation de surveillance en relation avec l’exploitation d'un centre pour requérants d'asile et qu’il aurait de ce fait subi un dommage). On ne pouvait pas, de ce seul point de vue, retenir que la démarche n'avait le moindre lien avec l’exécution forcée (ATF 140 III 481 consid. 2.3.2). En revanche, le fait que le poursuivant avait déposé la réquisition de poursuite trois jours avant les pourparlers transactionnels qu’il avait lui-même initiés et qui avaient pour objet le retrait d’une précédente poursuite, portant sur la même créance, était constitutif d'un abus de droit (ATF 140 III 481 consid. 2.3.3). Dans le cas d'une entreprise d'électricité qui avait introduit une poursuite à l'encontre d'un client qui refusait de payer une facture relative à des travaux effectués, la Chambre de céans a admis le caractère abusif de la poursuite introduite peu de temps après par le client à l'encontre de l'entreprise d'électricité et portant exactement sur le même montant, motif pris que le client avait lui- même admis qu'il ne détenait pas de créance contre le poursuivi (l'entreprise d'électricité) et que la poursuite n'avait que pour but de contraindre le poursuivi à porter le litige devant les autorités judiciaires compétentes (DCSO/461/2018 du 13 septembre 2018).</w:t>
      </w:r>
    </w:p>
    <w:p>
      <w:r>
        <w:t>Le caractère abusif a aussi été admis dans le cas d'une poursuite de rétorsion introduite dans le but de porter atteinte à la réputation ("Rufschädigung") du poursuivi (DCSO/454/2017 du 31 août 2017).</w:t>
      </w:r>
    </w:p>
    <w:p>
      <w:r>
        <w:t>De même, dans la décision DCSO/153/16 du 12 mai 2016, la Chambre de céans a considéré qu'il s'agissait d'une poursuite de représailles, et donc abusive, le pseudo-créancier n'ayant donné aucune explication sur le type de comportement reproché au poursuivi, ni sur ses prétentions.</w:t>
      </w:r>
    </w:p>
    <w:p>
      <w:r>
        <w:rPr>
          <w:b/>
        </w:rPr>
        <w:t>E. 2.2</w:t>
      </w:r>
    </w:p>
    <w:p>
      <w:r>
        <w:t>En l'espèce, à la suite du séquestre obtenu le 30 août 2021 par le plaignant au préjudice de l'ex-épouse de l'intimé pour le montant de 95'350 fr. plus intérêts à 5% dès le 30 août 2021, l'intimé a requis, le lendemain, une poursuite contre le plaignant d'un montant de 93'500 fr., avec intérêts à 6% l'an dès le 31 août 2021. Il</w:t>
      </w:r>
    </w:p>
    <w:p>
      <w:r>
        <w:t>- 6/7 -</w:t>
      </w:r>
    </w:p>
    <w:p>
      <w:r>
        <w:t>A/3197/2021-CS existe ainsi une proximité temporelle entre le séquestre et la poursuite, dont les montants considérés et le dies a quo des intérêts sont quasiment identiques, ce qui démontre que la poursuite intervient uniquement en réaction au séquestre obtenu par le poursuivi au préjudice de l'ex-épouse du poursuivant. Quand bien même l'intimé est un intervenant au contrat de vente de l'appartement, il ressort de ses explications qu'il ne prétend pas être créancier du plaignant, mais bien de son ex-épouse, dans le cadre de la liquidation de leurs rapports patrimoniaux. Son but n'est donc pas d'obtenir, par la voie de l'exécution forcée, le paiement par le plaignant d'une somme que ce dernier lui devrait, selon lui. En affirmant que la poursuite est le seul moyen pour lui d'obtenir l'annulation du séquestre, l'intimé admet qu'il utilise la voie de la poursuite pour faire pression sur le plaignant afin que celui-ci retire le séquestre. Il agit ainsi dans un but totalement étranger au droit de l'exécution forcée. La plainte doit donc être admise et la nullité pour abus de droit de la poursuite n° 3______ constatée.</w:t>
      </w:r>
    </w:p>
    <w:p>
      <w:r>
        <w:rPr>
          <w:b/>
        </w:rPr>
        <w:t>E. 3</w:t>
      </w:r>
    </w:p>
    <w:p>
      <w:r>
        <w:t>La procédure de plainte est gratuite (art. 20a al. 2 ch. 5 LP; art. 61 al. 2 let. a OELP) et ne donne pas lieu à l'allocation de dépens (art. 62 al. 2 OELP).</w:t>
      </w:r>
    </w:p>
    <w:p>
      <w:r>
        <w:t>* * * * *</w:t>
      </w:r>
    </w:p>
    <w:p>
      <w:r>
        <w:t>- 7/7 -</w:t>
      </w:r>
    </w:p>
    <w:p>
      <w:r>
        <w:t>A/3197/2021-CS PAR CES MOTIFS, La Chambre de surveillance : A la forme : Déclare recevable la plainte formée le 20 septembre 2021 par A______ contre le commandement de payer, poursuite n° 3______. Au fond : L'admet. Constate la nullité de la poursuite n° 3______. Siégeant : Madame Verena PEDRAZZINI RIZZI, présidente; Madame Ekarerine BLINOVA et Monsieur Anthony HUGUENIN, juges assesseurs;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