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DCSO/71/2022 vom 24. Februar 2022</w:t>
      </w:r>
    </w:p>
    <w:p>
      <w:r>
        <w:t>GE Cour de justice, 2022-02-24, FR</w:t>
      </w:r>
    </w:p>
    <w:p>
      <w:r>
        <w:rPr>
          <w:b/>
        </w:rPr>
        <w:t xml:space="preserve">Quelle: </w:t>
      </w:r>
      <w:r>
        <w:t>https://mcp.opencaselaw.ch/entscheid/ge_gerichte_DCSO_71_2022</w:t>
      </w:r>
    </w:p>
    <w:p>
      <w:r>
        <w:t>FR: GE_GERICHTE DCSO/71/2022 du 24 février 2022</w:t>
      </w:r>
    </w:p>
    <w:p>
      <w:r>
        <w:t>IT: GE_GERICHTE DCSO/71/2022 del 24 febbraio 2022</w:t>
      </w:r>
    </w:p>
    <w:p>
      <w:pPr>
        <w:pStyle w:val="Heading2"/>
      </w:pPr>
      <w:r>
        <w:t>Erwägungen</w:t>
      </w:r>
    </w:p>
    <w:p>
      <w:r>
        <w:rPr>
          <w:b/>
        </w:rPr>
        <w:t>E. 1</w:t>
      </w:r>
    </w:p>
    <w:p>
      <w:r>
        <w:t>1.1.1 Le délai de dix jours pour former plainte (art. 17 al. 2 LP), respectivement solliciter une nouvelle expertise (art. 9 al. 2 ORFI) a été respecté. La plainte respecte par ailleurs les formes prévues par la loi (art. 9 al. 1 et 2 LaLP, art. 65 al. 1 et 2 LPA, applicables par renvoi de l'art. 9 al. 4 LaLP). 1.1.2 La communication par l'office des poursuites de la nouvelle estimation de l'immeuble saisi, effectuée après réception de la réquisition de vente, constitue une décision sujette à plainte au sens de l'art. 17 LP (arrêt du Tribunal fédéral 7B.147/2004 du 9 août 2004 consid. 1.2). La possibilité de solliciter une nouvelle expertise, au sens de l'art. 9 al. 2 ORFI, est également ouverte (ATF 122 III 338 consid. 3a). Selon que ce sont les critères d'estimation pris en compte par l'office des poursuites qui sont contestés, ou la valeur d'estimation comme telle, les conclusions de la partie plaignante devront être considérées comme une plainte (art. 9 al. 1 ORFI) ou comme une demande de nouvelle expertise (art. 9 al. 2 ORFI; ATF 133 III 537 consid. 4.1).</w:t>
      </w:r>
    </w:p>
    <w:p>
      <w:r>
        <w:rPr>
          <w:b/>
        </w:rPr>
        <w:t>E. 1.2</w:t>
      </w:r>
    </w:p>
    <w:p>
      <w:r>
        <w:t>En l'espèce, le plaignant s'en prend à titre principal aux critères pris en considération par l'Office – respectivement par l'expert qu'il a mis en œuvre – pour estimer la valeur de l'immeuble, à savoir le caractère lacunaire du processus d'évaluation et l'absence de prise en compte d'une expertise effectuée dans le cadre d'une autre procédure. La plainte est à cet égard recevable.</w:t>
      </w:r>
    </w:p>
    <w:p>
      <w:r>
        <w:t>- 5/7 -</w:t>
      </w:r>
    </w:p>
    <w:p>
      <w:r>
        <w:t>A/3650/2021-CS Par ses conclusions subsidiaires, le plaignant conteste la valeur vénale retenue par l'Office et sollicite, conformément à l'art. 9 al. 2 ORFI, une nouvelle expertise. Son procédé est, de ce point de vue également, recevable.</w:t>
      </w:r>
    </w:p>
    <w:p>
      <w:r>
        <w:rPr>
          <w:b/>
        </w:rPr>
        <w:t>E. 2.1</w:t>
      </w:r>
    </w:p>
    <w:p>
      <w:r>
        <w:t>Dans la poursuite par voie de saisie, lorsque la vente d'un immeuble est requise, l'office des poursuites doit en estimer une nouvelle fois - après l'avoir fait une première fois lors de la saisie en application de l'art. 97 al. 1 LP - la valeur (art. 140 al. 3 LP; ATF 122 III 338 consid. 3a).</w:t>
      </w:r>
    </w:p>
    <w:p>
      <w:r>
        <w:t>Dans la poursuite en réalisation de gage, après avoir communiqué la réquisition de vente au débiteur, l'office demande un extrait du registre foncier relativement à l'immeuble à réaliser et ordonne l'estimation de celui-ci (art. 99 al. 1 et 9 al. 1 ORFI). Si le résultat de l'estimation n'est pas inséré dans la publication de la vente (art. 20 ORFI),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w:t>
      </w:r>
    </w:p>
    <w:p>
      <w:r>
        <w:t>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(arrêt du Tribunal fédéral 5A_421/2018 du 13 novembre 2018 consid. 6.2.1). Il n'est d'ailleurs pas rare que deux experts aient un avis différent sur le même objet, les critères d'estimation pouvant varier considérablement de l'un à l'autre (ATF 120 III 79 consid. 2b).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rPr>
          <w:b/>
        </w:rPr>
        <w:t>E. 2.2</w:t>
      </w:r>
    </w:p>
    <w:p>
      <w:r>
        <w:t>En l'espèce, les griefs formulés par le plaignant à l'encontre du processus d'expertise mis en œuvre par l'architecte mandaté par l'Office sont infondés. Il résulte en effet du dossier que cet expert a établi son premier rapport concernant l'immeuble considéré après une visite des lieux, à l'occasion de laquelle il a pris de nombreuses photographies de couleur. Il ne s'est donc pas limité, comme le soutient le plaignant, à se fonder sur les extraits du registre foncier et cadastral ou sur de "vieilles" photos en noir et blanc. Cet expert a ensuite réactualisé, dans son</w:t>
      </w:r>
    </w:p>
    <w:p>
      <w:r>
        <w:t>- 6/7 -</w:t>
      </w:r>
    </w:p>
    <w:p>
      <w:r>
        <w:t>A/3650/2021-CS second rapport, les valeurs d'estimation sur la base de l'évolution du marché, ce qui ne prête pas non plus le flanc à la critique.</w:t>
      </w:r>
    </w:p>
    <w:p>
      <w:r>
        <w:t>Le plaignant ne peut non plus rien tirer de l'estimation plus basse à laquelle est parvenu l'expert mis en œuvre par le juge civil, laquelle n'est pas révélatrice de lacunes dans le processus d'estimation de l'expert mis en œuvre par l'Office. En effet, il n'est pas rare que des experts aient un avis différent sur le même objet, les critères d'estimation pouvant varier considérablement de l'un à l'autre (ATF 120 III 79 consid. 2b).</w:t>
      </w:r>
    </w:p>
    <w:p>
      <w:r>
        <w:t>Mal fondée, la plainte doit donc être rejetée.</w:t>
      </w:r>
    </w:p>
    <w:p>
      <w:r>
        <w:rPr>
          <w:b/>
        </w:rPr>
        <w:t>E. 3</w:t>
      </w:r>
    </w:p>
    <w:p>
      <w:r>
        <w:t>Selon l'art. 9 al. 2 ORFI, applicable à la poursuite en réalisation de gage par renvoi de l'art. 99 ORFI, chaque intéressé a le droit d'exiger dans le délai de plainte de l'art. 17 al. 2 LP, en s'adressant à l'autorité de surveillance et moyennant avance de frais, qu'une nouvelle estimation soit faite par des experts.</w:t>
      </w:r>
    </w:p>
    <w:p>
      <w:r>
        <w:t>En l'occurrence, le plaignant a conclu à titre subsidiaire, dans le délai de plainte contre la décision d'estimation notifiée le 13 octobre 2021, à ce qu'une nouvelle estimation soit effectuée. Un délai convenable lui sera donc imparti, sous peine d'irrecevabilité de la requête de nouvelle estimation, pour fournir une avance de frais correspondant au coût prévisible de la nouvelle expertise (ATF 61 III 63). Un nouvel expert sera par ailleurs nommé et sa mission fixée.</w:t>
      </w:r>
    </w:p>
    <w:p>
      <w:r>
        <w:rPr>
          <w:b/>
        </w:rPr>
        <w:t>E. 4</w:t>
      </w:r>
    </w:p>
    <w:p>
      <w:r>
        <w:t>La procédure est gratuite (art. 20a al. 2 ch. 5 LP et art. 61 al. 2 lit. a OELP), et il ne peut être alloué aucun dépens (art. 62 al. 2 OELP).</w:t>
      </w:r>
    </w:p>
    <w:p>
      <w:r>
        <w:t>* * * * *</w:t>
      </w:r>
    </w:p>
    <w:p>
      <w:r>
        <w:t>- 7/7 -</w:t>
      </w:r>
    </w:p>
    <w:p>
      <w:r>
        <w:t>A/3650/2021-CS PAR CES MOTIFS, La Chambre de surveillance : A la forme : Déclare recevable la plainte formée le 25 octobre 2021 par A______ contre la décision d'estimation établie le 12 octobre 2021 par l'Office cantonal des poursuites dans la série n° 81 6______. Au fond : Rejette la plainte. Donne suite à la requête d'expertise et impartit, par conséquent, à A______, sous peine d’irrecevabilité de sa requête, un délai de 10 jours dès la notification de la présente décision pour effectuer une avance de 1'650 fr. pour les frais d’expertise au moyen du bulletin de versement ci-annexé. Dit qu'à réception de ce montant, la Chambre de céans désignera un expert architecte pour évaluer ce bien immobilier. Siégeant : Madame Verena PEDRAZZINI RIZZI, présidente; Madame Ekaterine BLINOVA et Monsieur Anthony HUGUENIN,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