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DCSO/71/2012 vom 23. Februar 2012</w:t>
      </w:r>
    </w:p>
    <w:p>
      <w:r>
        <w:t>GE Cour de justice, 2012-02-23, FR</w:t>
      </w:r>
    </w:p>
    <w:p>
      <w:r>
        <w:rPr>
          <w:b/>
        </w:rPr>
        <w:t xml:space="preserve">Quelle: </w:t>
      </w:r>
      <w:r>
        <w:t>https://mcp.opencaselaw.ch/entscheid/ge_gerichte_DCSO_71_2012</w:t>
      </w:r>
    </w:p>
    <w:p>
      <w:r>
        <w:t>FR: GE_GERICHTE DCSO/71/2012 du 23 février 2012</w:t>
      </w:r>
    </w:p>
    <w:p>
      <w:r>
        <w:t>IT: GE_GERICHTE DCSO/71/2012 del 23 febbraio 2012</w:t>
      </w:r>
    </w:p>
    <w:p>
      <w:pPr>
        <w:pStyle w:val="Heading2"/>
      </w:pPr>
      <w:r>
        <w:t>Regeste</w:t>
      </w:r>
    </w:p>
    <w:p>
      <w:r>
        <w:t>Résumé: L'ordonnance de séquestre doit contenir les mêmes indications que la réquisition de poursuite validant le séquestre. Recours interjeté au TF par la créancière le 6 mars 2012, rejeté par arrêt du 26 septembre 2012 (5A_197/2012).</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t>- 3/4 -</w:t>
      </w:r>
    </w:p>
    <w:p>
      <w:r>
        <w:t>A/11/2012-CS</w:t>
      </w:r>
    </w:p>
    <w:p>
      <w:r>
        <w:rPr>
          <w:b/>
        </w:rPr>
        <w:t>E. 1.2</w:t>
      </w:r>
    </w:p>
    <w:p>
      <w:r>
        <w:t>La décision querellée constitue une mesure sujette à plainte et la poursuivante a qualité pour agir par cette voie.</w:t>
      </w:r>
    </w:p>
    <w:p>
      <w:r>
        <w:t>La plainte a été déposée en temps utile et dans les formes prescrites (art. 9 al. 1 et</w:t>
      </w:r>
    </w:p>
    <w:p>
      <w:r>
        <w:rPr>
          <w:b/>
        </w:rPr>
        <w:t>E. 2</w:t>
      </w:r>
    </w:p>
    <w:p>
      <w:r>
        <w:t>LaLP).</w:t>
      </w:r>
    </w:p>
    <w:p>
      <w:r>
        <w:t>Elle sera donc déclarée recevable.</w:t>
      </w:r>
    </w:p>
    <w:p>
      <w:r>
        <w:rPr>
          <w:b/>
        </w:rPr>
        <w:t>E. 2.1</w:t>
      </w:r>
    </w:p>
    <w:p>
      <w:r>
        <w:t>Si la prétention dont le séquestre doit garantir le recouvrement est libellée en monnaie étrangère, elle doit être convertie en valeur légale suisse; la conversion doit être effectuée par le requérant à la date où il remet sa requête au juge du séquestre; le séquestré peut, par la voie de l'opposition, contester le taux utilisé par le requérant pour convertir sa prétention en monnaie du pays (GILLIERON, Commentaire, n. 17 ad art. 271 et n. 42 ad art. 278).</w:t>
      </w:r>
    </w:p>
    <w:p>
      <w:r>
        <w:rPr>
          <w:b/>
        </w:rPr>
        <w:t>E. 2.2</w:t>
      </w:r>
    </w:p>
    <w:p>
      <w:r>
        <w:t>Le créancier qui a fait opérer un séquestre sans poursuite préalable ou action préalable doit requérir la poursuite ou intenter action dans les dix jours à compter de la réception du procès-verbal (art. 279 LP).</w:t>
      </w:r>
    </w:p>
    <w:p>
      <w:r>
        <w:t>La réquisition de poursuite énonce, notamment, le montant en valeur légale suisse de la créance ou des sûretés exigées; si la créance porte intérêts, le taux et le jour duquel ils courent (art. 67 al. 1 ch. 3 LP).</w:t>
      </w:r>
    </w:p>
    <w:p>
      <w:r>
        <w:t>Lorsque le poursuivant requiert une poursuite pour valider une mesure conservatoire, tel un séquestre, il doit indiquer dans sa réquisition la même prétention, en capital et intérêts, que celle qu'il avait indiquée dans sa requête de séquestre et pour laquelle celui-ci a été ordonné et exécuté (GILLIERON, op. cit., n. 59 ad art. 67 et n. 9 ad art. 279). Il incombe à l'office des poursuites de veiller à ce que le séquestre soit validé pour les mêmes montants que ceux en garantie desquels il a été obtenu; c'est pourquoi l'ordonnance de séquestre doit contenir les mêmes indications que la réquisition de poursuite (BlSchK 1992 p. 157).</w:t>
      </w:r>
    </w:p>
    <w:p>
      <w:r>
        <w:rPr>
          <w:b/>
        </w:rPr>
        <w:t>E. 2.3</w:t>
      </w:r>
    </w:p>
    <w:p>
      <w:r>
        <w:t>En l'espèce, la prétention indiquée par la plaignante dans sa requête de séquestre était de 773'749'000 fr. avec intérêts à 5% dès le 29 avril 2010 (contre- valeur au 18 octobre 2011 de USD 685'714'741, 98 et de EURO 129'445'793, 93); ce montant a été repris par le juge du séquestre dans son ordonnance.</w:t>
      </w:r>
    </w:p>
    <w:p>
      <w:r>
        <w:t>Il s'ensuit que, conformément aux considérants qui précèdent, c'est à bon droit que l'Office, saisi d'une réquisition de poursuite en validation de ce séquestre indiquant une prétention, en capital et intérêts, différente de celle pour laquelle le séquestre avait été obtenu, ne l'a admise qu'à concurrence du montant mentionné dans l'ordonnance judiciaire.</w:t>
      </w:r>
    </w:p>
    <w:p>
      <w:r>
        <w:rPr>
          <w:b/>
        </w:rPr>
        <w:t>E. 3</w:t>
      </w:r>
    </w:p>
    <w:p>
      <w:r>
        <w:t>Mal fondée, la plainte sera rejetée. * * * * *</w:t>
      </w:r>
    </w:p>
    <w:p>
      <w:r>
        <w:t>- 4/4 -</w:t>
      </w:r>
    </w:p>
    <w:p>
      <w:r>
        <w:t>A/11/2012-CS PAR CES MOTIFS, La Chambre de surveillance : A la forme : Déclare recevable la plainte formée par T______ le 4 janvier 2012 contre la décision de l'Office des poursuites datée du 3 janvier 2012 rejetant partiellement la réquisition de poursuite n° 11 xxxx12 Z. Au fond : La rejette. Déboute la plaignante de toutes autres conclusions. Siégeant : Madame Ariane WEYENETH, présidente; Monsieur Philipp GANZONI et Monsieur Mathieu HOWALD, juges assesseurs; Madame Paulette DORMAN, greffière.</w:t>
      </w:r>
    </w:p>
    <w:p>
      <w:r>
        <w:t>La présidente : Ariane WEYENETH</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