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DCSO/6/2024 vom 11. Januar 2024</w:t>
      </w:r>
    </w:p>
    <w:p>
      <w:r>
        <w:t>GE Cour de justice, 2024-01-11, FR</w:t>
      </w:r>
    </w:p>
    <w:p>
      <w:r>
        <w:rPr>
          <w:b/>
        </w:rPr>
        <w:t xml:space="preserve">Quelle: </w:t>
      </w:r>
      <w:r>
        <w:t>https://mcp.opencaselaw.ch/entscheid/ge_gerichte_DCSO_6_2024</w:t>
      </w:r>
    </w:p>
    <w:p>
      <w:r>
        <w:t>FR: GE_GERICHTE DCSO/6/2024 du 11 janvier 2024</w:t>
      </w:r>
    </w:p>
    <w:p>
      <w:r>
        <w:t>IT: GE_GERICHTE DCSO/6/2024 del 11 gennaio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Dans la mesure où le grief invoqué par les plaignants entraînerait, dans l'hypothèse où il serait bien fondé, la nullité des poursuites litigieuses, la Chambre de surveillance serait en tout état tenue d'entrer en matière même en l'absence d'une plainte recevable (art. 22 al. 1 2ème phrase LP).</w:t>
      </w:r>
    </w:p>
    <w:p>
      <w:r>
        <w:rPr>
          <w:b/>
        </w:rPr>
        <w:t>E. 2.1</w:t>
      </w:r>
    </w:p>
    <w:p>
      <w:r>
        <w:t>Sont nulles les poursuites introduites en violation du principe de l'interdiction de l'abus de droit, tel qu'il résulte de l'art. 2 al. 2 CC (ATF 140 III 481 consid. 2.3.1).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w:t>
      </w:r>
    </w:p>
    <w:p>
      <w:r>
        <w:t>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w:t>
      </w:r>
    </w:p>
    <w:p>
      <w:r>
        <w:t>- 4/6 -</w:t>
      </w:r>
    </w:p>
    <w:p>
      <w:r>
        <w:t>A/3106/2023-CS l'existence de la créance (ATF 113 III 2 consid. 2b; cf. ég., parmi plusieurs: arrêts 5A_838/2016 du 13 mars 2017 consid. 2.1).</w:t>
      </w:r>
    </w:p>
    <w:p>
      <w:r>
        <w:rPr>
          <w:b/>
        </w:rPr>
        <w:t>E. 2.2</w:t>
      </w:r>
    </w:p>
    <w:p>
      <w:r>
        <w:t>En l'espèce, les plaignants font pour l'essentiel valoir que les montants réclamés par l'intimée dans le cadre des poursuites litigieuses ne seraient pas dus. Ce faisant, ils s'en prennent au fond des prétentions invoquées en poursuite, soit à leur existence et à leur montant. Comme relevé ci-dessus, ces questions relèvent toutefois de la compétence exclusive du juge (en l'occurrence du juge civil), avec pour conséquence que les autorités de poursuite, parmi lesquelles la Chambre de céans, ne sauraient se prononcer à leur sujet.</w:t>
      </w:r>
    </w:p>
    <w:p>
      <w:r>
        <w:t>Il suffira donc de constater sur ce point que, fondées ou non, les prétentions déduites en poursuite sont invoquées en relation avec un contrat ayant effectivement lié les plaignants à l'intimée, qu'elles ne paraissent pas si manifestement inexistantes, exagérées ou disproportionnées qu'il faille admettre que la poursuivante ne vise pas véritablement à les recouvrer mais poursuit en réalité un autre but, et qu'au contraire la poursuivante et un tiers ont d'ores et déjà engagé une procédure judiciaire visant à obtenir la condamnation des plaignants à leur verser les sommes réclamées, signalant par là même le sérieux de leurs intentions. Ces derniers ne peuvent donc tirer aucun argument en faveur du caractère abusif des poursuites de la nature et du montant des prétentions qu'elles visent à recouvrer.</w:t>
      </w:r>
    </w:p>
    <w:p>
      <w:r>
        <w:t>Le fait, dénoncé par les plaignants, que les poursuites aient été engagées avant que le Tribunal compétent n'ait pu statuer sur le bien-fondé de ces prétentions ne peut non plus être interprété comme un indice d'une intention abusive de la part de la poursuivante, et notamment d'une volonté d'intimidation de sa part. Outre le fait qu'un tel procédé est admissible et courant, il peut en effet tout à fait s'expliquer par une volonté de la poursuivante d'accélérer le cours de la procédure d'exécution forcée, en raccourcissant notamment le délai entre l'obtention d'une décision judiciaire faisant par hypothèse totalement ou partiellement droit à ses prétentions et l'exécution d'une saisie sur les biens des plaignants.</w:t>
      </w:r>
    </w:p>
    <w:p>
      <w:r>
        <w:t>Le fait que les poursuites soient dirigées contre chacun des deux plaignants pour l'intégralité de la prétention invoquée ne constitue pas davantage un indice d'abus mais une conséquence de leur solidarité, telle qu'alléguée par la poursuivante. En cas de solidarité passive en effet, chaque débiteur solidaire doit être poursuivi séparément et peut l'être pour la totalité du montant réclamé, sans que la mention du rapport de solidarité ne soit nécessaire (ATF 145 III 221 consid. 5.3).</w:t>
      </w:r>
    </w:p>
    <w:p>
      <w:r>
        <w:t>On ne voit pas non plus en quoi le fait que la poursuivante ait choisi d'introduire des poursuites ordinaires par voie de saisie ou de faillite, plutôt que des poursuites en réalisation de gage portant sur la garantie bancaire constituée par les plaignants, rendrait lesdites poursuites abusives. Ces derniers, s'ils considéraient un tel procédé critiquable, avaient du reste la possibilité de le contester en temps</w:t>
      </w:r>
    </w:p>
    <w:p>
      <w:r>
        <w:t>- 5/6 -</w:t>
      </w:r>
    </w:p>
    <w:p>
      <w:r>
        <w:t>A/3106/2023-CS utile en invoquant le beneficium excussionis realis prévu par l'art. 41 al. 1bis LP, ce qu'ils n'ont pas fait dans le cadre de la présente procédure.</w:t>
      </w:r>
    </w:p>
    <w:p>
      <w:r>
        <w:t>Enfin, les atteintes à leur réputation en affaires dénoncées par les plaignants (diminution de leur capacité d'obtenir un crédit, un logement, voire un travail) sont le propre de toute poursuite, et ne sont donc, en elles-mêmes, d'aucun secours pour distinguer une poursuite légitime d'une poursuite abusive. Aucun élément du dossier ne permet à cet égard de considérer que ces atteintes constitueraient en réalité le seul, ou même le principal, objectif recherché par la poursuivante.</w:t>
      </w:r>
    </w:p>
    <w:p>
      <w:r>
        <w:t>En l'absence d'indices d'une volonté des poursuivants d'utiliser les règles de l'exécution forcée dans un but qui leur est étranger, en particulier pour tourmenter les plaignants, la plainte doit être rejetée.</w:t>
      </w:r>
    </w:p>
    <w:p>
      <w:r>
        <w:rPr>
          <w:b/>
        </w:rPr>
        <w:t>E. 3</w:t>
      </w:r>
    </w:p>
    <w:p>
      <w:r>
        <w:t>La procédure de plainte est gratuite (art. 20a al. 2 ch. 5 LP et art. 61 al. 2 let. a OELP) et il ne peut être alloué aucuns dépens dans cette procédure (art. 62 al. 2 OELP). * * * * *</w:t>
      </w:r>
    </w:p>
    <w:p>
      <w:r>
        <w:t>- 6/6 -</w:t>
      </w:r>
    </w:p>
    <w:p>
      <w:r>
        <w:t>A/3106/2023-CS PAR CES MOTIFS, La Chambre de surveillance : A la forme : Déclare recevable la plainte formée le 25 septembre 2023 par B______ et A______ contre les poursuites nos 2______ et 3______. Au fond : La rejette. Siégeant : Monsieur Patrick CHENAUX, président; Monsieur Luca MINOTTI et Monsieur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