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DCSO/69/2016 vom 11. Februar 2016</w:t>
      </w:r>
    </w:p>
    <w:p>
      <w:r>
        <w:t>GE Cour de justice, 2016-02-11, FR</w:t>
      </w:r>
    </w:p>
    <w:p>
      <w:r>
        <w:rPr>
          <w:b/>
        </w:rPr>
        <w:t xml:space="preserve">Quelle: </w:t>
      </w:r>
      <w:r>
        <w:t>https://mcp.opencaselaw.ch/entscheid/ge_gerichte_DCSO_69_2016</w:t>
      </w:r>
    </w:p>
    <w:p>
      <w:r>
        <w:t>FR: GE_GERICHTE DCSO/69/2016 du 11 février 2016</w:t>
      </w:r>
    </w:p>
    <w:p>
      <w:r>
        <w:t>IT: GE_GERICHTE DCSO/69/2016 del 11 febbraio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a été formée en temps utile et respecte les conditions de forme prévues par la loi dès lors que l'on peut en inférer une conclusion en annulation de la commination de faillite notifiée le 23 juillet 2015 ainsi que les motifs invoqués à l'appui de cette conclusion.</w:t>
      </w:r>
    </w:p>
    <w:p>
      <w:r>
        <w:t>La plaignante est par ailleurs lésée dans ses intérêts juridiquement protégés, nonobstant sa dissolution et sa mise en liquidation selon les règles de la faillite, prononcées par jugement du 20 août 2015, dès lors que la liquidation selon les règles de la faillite a dans un premier temps été suspendue puis, dans un second temps, clôturée faute d'actifs, la poursuite n° 14 xxxx83 Z est en effet à nouveau en cours (art. 230 al. 4 LP) et la débitrice poursuivie dispose d'un intérêt légitime à obtenir l'annulation de la commination de faillite notifiée, par hypothèse, à tort.</w:t>
      </w:r>
    </w:p>
    <w:p>
      <w:r>
        <w:t>La plainte est donc recevable.</w:t>
      </w:r>
    </w:p>
    <w:p>
      <w:r>
        <w:rPr>
          <w:b/>
        </w:rPr>
        <w:t>E. 2.1</w:t>
      </w:r>
    </w:p>
    <w:p>
      <w:r>
        <w:t>Pour déployer des effets, les décisions judiciaires doivent être notifiées aux personnes concernées (en matière civile : art. 136 let. b CPC) selon les formes</w:t>
      </w:r>
    </w:p>
    <w:p>
      <w:r>
        <w:t>- 5/7 -</w:t>
      </w:r>
    </w:p>
    <w:p>
      <w:r>
        <w:t>A/2690/2015-CS prévues par la loi. Selon l'art. 138 al. 1 CPC, les décisions judiciaires en matière civile sont notifiées par envoi recommandé ou d'une autre manière contre accusé de réception. L'acte est réputé notifié lorsqu'il a été remis au destinataire, à un de ses employés ou à une personne de seize ans au moins vivant dans le même ménage (art. 138 al. 2 CPC).</w:t>
      </w:r>
    </w:p>
    <w:p>
      <w:r>
        <w:t>Selon un principe général de l'état de droit, une partie ne saurait subir un préjudice du fait d'une notification irrégulière (ATF 122 I 97 cons. 3 a/aa). Le respect des dispositions légales relatives à la notification n'est cependant pas un but en soi, de telle sorte qu'une irrégularité dans la notification n'entraîne pas nécessairement la nullité de la décision judiciaire concernée. Il convient au contraire d'examiner de cas en cas, au vu des circonstances concrètes de l'espèce, si la partie concernée a effectivement été induite en erreur par l'irrégularité de la notification et a, de ce fait, subi un préjudice (arrêt du Tribunal fédéral 5A_881_2014 du 24 février 2015 cons. 3). Sont à cet égard décisives les règles de la bonne foi, qui fixent une limite à l'invocation d'un vice de forme (ATF 122 I 97 cons. 3a/aa). Ces règles imposent à une personne se sachant partie à une procédure judiciaire pendante de faire en sorte que les décisions dont il peut prévoir avec un certain degré de vraisemblance qu'elles soient rendues dans le cadre de cette procédure puissent lui être notifiées (ATF 130 III 396 cons. 1.2.3 et références citées; arrêt du Tribunal fédéral 5A_881_2014 du 24 février 2015 cons. 3).</w:t>
      </w:r>
    </w:p>
    <w:p>
      <w:r>
        <w:rPr>
          <w:b/>
        </w:rPr>
        <w:t>E. 2.2</w:t>
      </w:r>
    </w:p>
    <w:p>
      <w:r>
        <w:t>Lorsque le commandement de payer a été frappé d'opposition et que celle-ci n'a pas été retirée par la suite, il incombe au créancier poursuivant d'en obtenir la mainlevée avant de pouvoir requérir la continuation de la poursuite (art. 88 al. 1 LP). La décision judiciaire écartant l'opposition devra être jointe à la réquisition de continuer la poursuite, de manière à ce que l'Office soit en mesure de vérifier que l'opposition a été valablement levée (Thomas WINKLER, in KUKO SchKG, 2ème édition, 2014, n° 8 ad art. 88 LP). Tel n'est pas le cas si ni la citation à l'audience de mainlevée ni le jugement de mainlevée n'ont été valablement notifiés au débiteur poursuivi : dans une telle hypothèse, en effet, la décision écartant l'opposition est nulle, ce qu'aussi bien l'Office que, dans le cadre d'une procédure de plainte, l'autorité de surveillance doivent constater (ATF 130 III 396 cons. 1.2.2; 102 III 133 cons. 3; arrêt du Tribunal fédéral 5A_738_2010 du 28 janvier 2011 cons. 3).</w:t>
      </w:r>
    </w:p>
    <w:p>
      <w:r>
        <w:rPr>
          <w:b/>
        </w:rPr>
        <w:t>E. 2.3</w:t>
      </w:r>
    </w:p>
    <w:p>
      <w:r>
        <w:t>Dans le cas d'espèce, il convient en premier lieu de constater que, contrairement à ce qu'elle soutient, la plaignante a été valablement citée à l'audience de procédure sommaire du 6 février 2015. La citation lui a en effet été adressée à son adresse officielle auprès de F______ SA et le pli recommandé la contenant a été délivré le 9 janvier 2015, trois jours avant que le Registre du commerce ne soit informé que cette adresse n'était plus valable et six jours avant que cette modification ne soit publiée dans la FOSC.</w:t>
      </w:r>
    </w:p>
    <w:p>
      <w:r>
        <w:t>- 6/7 -</w:t>
      </w:r>
    </w:p>
    <w:p>
      <w:r>
        <w:t>A/2690/2015-CS</w:t>
      </w:r>
    </w:p>
    <w:p>
      <w:r>
        <w:t>Il en résulte que la plaignante ne pouvait ignorer qu'elle était partie à une procédure de mainlevée de l'opposition qu'elle avait formée au commandement de payer, poursuite n° 14 xxxx83 Z, et devait donc s'attendre à ce qu'une décision statuant sur ce point lui soit notifiée. La présente espèce se distingue ainsi sur un point essentiel de l'hypothèse envisagée sous cons. 2.2 in fine ci-dessus, dans laquelle ni la citation ni la décision n'avaient été valablement notifiées au débiteur poursuivi, lequel pouvait dès lors légitimement ignorer qu'il était partie à une procédure judiciaire. Il appartenait en l'occurrence, au contraire, à la plaignante de faire en sorte que la décision statuant sur la requête de mainlevée formée par la créancière poursuivante puisse lui être notifiée, ce qu'elle n'a pas fait : bien qu'elle n'ait plus disposé dès le 15 janvier 2015 d'une adresse officielle, il n'est en effet ni allégué ni établi qu'elle en aurait informé le Tribunal ou lui aurait communiqué une adresse à laquelle le jugement aurait pu lui être notifié. Au contraire, son ancienne mandataire F______ SA a continué à accepter les plis qui lui étaient adressés à son ancienne adresse, de telle sorte que le Tribunal est demeuré dans l'ignorance de l'irrégularité de la notification du jugement du 24 février 2005, effectuée le 4 mars 2015 en mains de cette dernière.</w:t>
      </w:r>
    </w:p>
    <w:p>
      <w:r>
        <w:t>Cette violation par la plaignante des obligations procédurales lui incombant, telles que déduites du principe général de la bonne foi, a pour conséquence que, malgré l'irrégularité entachant sa notification et le fait que rien ne permette de retenir qu'il soit effectivement parvenu à la connaissance de sa destinataire avant la notification de la commination de faillite contestée, la décision de mainlevée ne saurait être considérée comme nulle. Le cas échéant, c'est aux juridictions ordinaires qu'il appartiendra d'examiner dans quelle mesure un éventuel recours interjeté contre cette décision sera recevable compte tenu du caractère irrégulier de sa notification et, dans l'affirmative, de statuer sur son bien-fondé. Il suffira dans le cadre de la présente procédure de plainte de constater que, jusqu'à son annulation ou octroi de l'effet suspensif par la juridiction de recours (art. 325 CPC), elle est exécutoire : c'est donc à juste titre que l'Office a donné suite à la réquisition de continuer la poursuite formée par l'intimée en procédant le 23 juillet 2015 à la notification d'une commination de faillite.</w:t>
      </w:r>
    </w:p>
    <w:p>
      <w:r>
        <w:t>Les griefs soulevés par la plaignante quant à l'existence et au montant de la créance en poursuite ne relèvent pour le surplus pas de la compétence de la Chambre de céans, mais de celle du juge ordinaire.</w:t>
      </w:r>
    </w:p>
    <w:p>
      <w:r>
        <w:t>Mal fondée, la plainte doit ainsi être rejetée.</w:t>
      </w:r>
    </w:p>
    <w:p>
      <w:r>
        <w:rPr>
          <w:b/>
        </w:rPr>
        <w:t>E. 3</w:t>
      </w:r>
    </w:p>
    <w:p>
      <w:r>
        <w:t>août 2015. Au fond : La rejette. Siégeant : Monsieur Patrick CHENAUX, président; Monsieur Georges ZUFFEREY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