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DCSO/68/2016 vom 11. Februar 2016</w:t>
      </w:r>
    </w:p>
    <w:p>
      <w:r>
        <w:t>GE Cour de justice, 2016-02-11, FR</w:t>
      </w:r>
    </w:p>
    <w:p>
      <w:r>
        <w:rPr>
          <w:b/>
        </w:rPr>
        <w:t xml:space="preserve">Quelle: </w:t>
      </w:r>
      <w:r>
        <w:t>https://mcp.opencaselaw.ch/entscheid/ge_gerichte_DCSO_68_2016</w:t>
      </w:r>
    </w:p>
    <w:p>
      <w:r>
        <w:t>FR: GE_GERICHTE DCSO/68/2016 du 11 février 2016</w:t>
      </w:r>
    </w:p>
    <w:p>
      <w:r>
        <w:t>IT: GE_GERICHTE DCSO/68/2016 del 11 febbraio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On peut se demander si la plainte conserve un objet dès lors que l'objectif poursuivi par le plaignant en la déposant, consistant à éviter que le crédit dont il jouit auprès de son employeur soit péjoré par la notification à ce dernier de la saisie, ne peut plus être atteint, ladite notification ayant déjà eu lieu. La mesure de sûreté a toutefois vocation à rester en vigueur aussi longtemps que la saisie, et pourrait le cas échéant être renouvelée dans le cadre de séries postérieures. Il y a donc lieu d'entrer en matière.</w:t>
      </w:r>
    </w:p>
    <w:p>
      <w:r>
        <w:rPr>
          <w:b/>
        </w:rPr>
        <w:t>E. 2</w:t>
      </w:r>
    </w:p>
    <w:p>
      <w:r>
        <w:t>Le litige porte uniquement sur la décision de l'Office d'adresser à l'employeur du plaignant, en qualité de tiers débiteur des créances de salaire de ce dernier, l'avis prévu par l'art. 99 LP.</w:t>
      </w:r>
    </w:p>
    <w:p>
      <w:r>
        <w:rPr>
          <w:b/>
        </w:rPr>
        <w:t>E. 2.1</w:t>
      </w:r>
    </w:p>
    <w:p>
      <w:r>
        <w:t>Cette disposition prévoit qu'en cas de saisie d'une créance, l'office prévient le tiers débiteur qu'il ne pourra plus dorénavant s'en acquitter valablement qu'en ses mains. Il s'agit là, selon le titre marginal des art. 98 à 105 LP, d'une mesure de sûreté, soit d'un acte visant à permettre à l'office de procéder à la réalisation des biens patrimoniaux saisis, en prévenant des actes de disposition illicites de la part du poursuivant et en empêchant les tiers de se prévaloir de leur bonne foi (Pierre- Robert GILLIERON, Commentaire LP, n° 8 et 9 ad art. 98 LP). L'avis au tiers</w:t>
      </w:r>
    </w:p>
    <w:p>
      <w:r>
        <w:t>- 5/6 -</w:t>
      </w:r>
    </w:p>
    <w:p>
      <w:r>
        <w:t>A/3957/2015-CS débiteur n'est pas une condition essentielle de la saisie mais une simple précaution, dont l'omission ou l'invalidité est sans effet sur la saisie (ATF 109 III 11 cons. 2; Markus ZOPFI, in KUKO SchKG, 2ème édition, 2014, n° 7 ad art. 99 LP).</w:t>
      </w:r>
    </w:p>
    <w:p>
      <w:r>
        <w:t>L'avis au tiers débiteur est en principe obligatoire (ATF 83 III 17 cons. 2; André E. LEBRECHT, Basler Kommentar SchKG, Art. 1 – 158, 2ème édition, n° 6 ad art. 99 LP; GILLIÉRON, op. cit., n° 13 ad art. 99 LP). En matière de saisie de salaire, l'office peut toutefois, selon sa propre appréciation et au risque d'engager la responsabilité du canton (art. 5 LP), y renoncer au profit d'une saisie dite arrangée (stille Lohnpfändung). Une telle renonciation, à laquelle le débiteur poursuivi n'a en tout état aucun droit, doit toutefois demeurer exceptionnelle et est soumise à des conditions rigoureuses, parmi lesquelles le paiement régulier et sans retard des montants saisis (arrêt du Tribunal fédéral 5A_408/2011 du 2 septembre 2011 cons. 2.3; ZOPFI, op. cit., n° 13 ad art. 99 LP; DCSO/357/2014 cons. 4).</w:t>
      </w:r>
    </w:p>
    <w:p>
      <w:r>
        <w:rPr>
          <w:b/>
        </w:rPr>
        <w:t>E. 2.2</w:t>
      </w:r>
    </w:p>
    <w:p>
      <w:r>
        <w:t>Il résulte de ce qui précède que, dans le cas d'espèce, l'envoi à l'employeur du plaignant de l'avis prévu par l'art. 99 LP était conforme au droit.</w:t>
      </w:r>
    </w:p>
    <w:p>
      <w:r>
        <w:t>Il était également fondé sous l'angle de l'opportunité. La pratique de l'Office, telle que codifiée dans une directive interne, selon laquelle une saisie de salaire dite arrangée n'est envisageable que dans les cas où la notification de la saisie à l'employeur mettrait en péril la relation d'emploi elle-même, est à cet égard conforme au droit fédéral. Une extension aux cas où, comme l'invoque le plaignant, cette notification péjorerait certes la relation de confiance entre employeur et employé mais n'aurait pas de conséquence sur la poursuite de la relation de travail, irait au contraire à l'encontre du caractère exceptionnel que doit revêtir cette pratique, remplaçant dans les faits la règle par l'exception.</w:t>
      </w:r>
    </w:p>
    <w:p>
      <w:r>
        <w:t>La plainte doit ainsi être rejetée.</w:t>
      </w:r>
    </w:p>
    <w:p>
      <w:r>
        <w:rPr>
          <w:b/>
        </w:rPr>
        <w:t>E. 3</w:t>
      </w:r>
    </w:p>
    <w:p>
      <w:r>
        <w:t>La procédure de plainte est gratuite (art. 20a al. 2 ch. 5 LP et art. 61 al. 2 let. a OELP) et il ne peut être alloué aucuns dépens dans cette procédure (art. 62 al. 2 OELP). * * * * *</w:t>
      </w:r>
    </w:p>
    <w:p>
      <w:r>
        <w:t>- 6/6 -</w:t>
      </w:r>
    </w:p>
    <w:p>
      <w:r>
        <w:t>A/3957/2015-CS PAR CES MOTIFS, La Chambre de surveillance : A la forme : Déclare recevable la plainte formée le 12 novembre 2015 par M. G______ contre l'avis au débiteur envoyé le 4 novembre 2015 dans le cadre de la saisie, série n° 15 xxxx39 C. Au fond : La rejette. Siégeant : Monsieur Patrick CHENAUX, président; Monsieur Georges ZUFFEREY et Monsieur Claude MARCET, juges assesseurs;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