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DCSO/686/2025 vom 11. Dezember 2025</w:t>
      </w:r>
    </w:p>
    <w:p>
      <w:r>
        <w:t>GE Cour de justice, 2025-12-11, FR</w:t>
      </w:r>
    </w:p>
    <w:p>
      <w:r>
        <w:rPr>
          <w:b/>
        </w:rPr>
        <w:t xml:space="preserve">Quelle: </w:t>
      </w:r>
      <w:r>
        <w:t>https://mcp.opencaselaw.ch/entscheid/ge_gerichte_DCSO_686_2025</w:t>
      </w:r>
    </w:p>
    <w:p>
      <w:r>
        <w:t>FR: GE_GERICHTE DCSO/686/2025 du 11 décembre 2025</w:t>
      </w:r>
    </w:p>
    <w:p>
      <w:r>
        <w:t>IT: GE_GERICHTE DCSO/686/2025 del 11 dicembre 2025</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telle une décision rendue lors de l’exécution d’un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C’est en principe toujours le cas du débiteur poursuivi et du créancier poursuivant (JEANDIN, in CR LP, 2025, n. 25 et 26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formée par les créanciers séquestrants, dans les délai et forme prévus par la loi, à l’encontre d’une décision rendue dans le cadre de l’exécution du séquestre, soit une mesure sujette à plainte. Elle est, dans cette mesure, recevable.</w:t>
      </w:r>
    </w:p>
    <w:p>
      <w:r>
        <w:rPr>
          <w:b/>
        </w:rPr>
        <w:t>E. 2</w:t>
      </w:r>
    </w:p>
    <w:p>
      <w:r>
        <w:t>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w:t>
      </w:r>
    </w:p>
    <w:p>
      <w:r>
        <w:t>Les griefs concernant les conditions de fond du séquestre doivent donc être soulevés dans la procédure d’opposition et ceux concernant l’exécution du séquestre dans la procédure de plainte (ATF 129 III 203 consid. 2.2 et 2.3; arrêts 5A_947/2012 du 14 mai 2012 consid. 4.1; 5A_883/2012 du 18 janvier 2013 consid. 6.1.2; 5A_812/2010 du 24 novembre 2011 consid. 3.2.2; 5A_925/2012 du</w:t>
      </w:r>
    </w:p>
    <w:p>
      <w:r>
        <w:rPr>
          <w:b/>
        </w:rPr>
        <w:t>E. 2.2</w:t>
      </w:r>
    </w:p>
    <w:p>
      <w:r>
        <w:t>En l’espèce, les plaignants font valoir que les parts de copropriété inscrites au registre foncier au nom de E______ appartiennent à D______ INC, en vertu du principe de transparence (Durchgriff). Or, l’application de ce principe ne relève pas de l'examen auquel doit procéder l'Office ou la Chambre de céans, mais bien du pouvoir d'examen du juge du séquestre.</w:t>
      </w:r>
    </w:p>
    <w:p>
      <w:r>
        <w:t>A cet égard, le juge, aux termes de l'ordonnance prononcée au préjudice de D______ INC (séquestre n° 2______), a fait porter le séquestre sur les actifs immobiliers inscrits au registre foncier au nom de E______. Quand bien même le juge du séquestre n'a pas expressément précisé que la débitrice séquestrée en était l'ayant droit économique – à l'inverse de ce qu'il a fait dans l'ordonnance au préjudice de E______ (séquestre n° 1______) par l'ajout manuscrit que les comptes bancaires de D______ INC « appartenaient en réalité à E______ » - la</w:t>
      </w:r>
    </w:p>
    <w:p>
      <w:r>
        <w:t>- 6/7 -</w:t>
      </w:r>
    </w:p>
    <w:p>
      <w:r>
        <w:t>A/2318/2025-CS désignation des parts de copropriété immobilière à séquestrer était en l'occurrence suffisamment précise pour permettre à l'Office de faire porter le séquestre sur ces biens, détenus formellement par un tiers, nommément désigné. L'Office pouvait en effet considérer que le juge du séquestre avait retenu que ces actifs appartenaient au débiteur séquestré, l'ordonnance étant suffisamment claire à cet égard.</w:t>
      </w:r>
    </w:p>
    <w:p>
      <w:r>
        <w:t>La plainte sera donc admise, la décision entreprise annulée et l'Office invité à exécuter le séquestre sur les parts de copropriété. 3. La procédure de plainte devant l’autorité de surveillance est gratuite (art. 20a al. 2 ch. 5 LP; art. 61 al. 2 let. a OELP) et ne donne pas lieu à l’allocation de dépens (art. 62 al. 2 OELP). * * * * *</w:t>
      </w:r>
    </w:p>
    <w:p>
      <w:r>
        <w:t>- 7/7 -</w:t>
      </w:r>
    </w:p>
    <w:p>
      <w:r>
        <w:t>A/2318/2025-CS</w:t>
      </w:r>
    </w:p>
    <w:p>
      <w:r>
        <w:t>PAR CES MOTIFS, La Chambre de surveillance : A la forme : Déclare recevable la plainte formée le 30 juin 2025 par A______, B______ et C______ contre la décision de l’Office cantonal des poursuites du 18 juin 2025 refusant d'exécuter partiellement le séquestre n° 2______. Au fond : L'admet et annule la décision attaquée. Ordonne à l'Office cantonal des poursuites d'exécuter le séquestre n° 2______ aussi sur les actifs immobiliers désignés par l'ordonnance du Tribunal de première instance du 18 juin 2025. Siégeant : Madame Verena PEDRAZZINI RIZZI, présidente; Madame Ekaterine BLINOVA et Monsieur Anthony HUGUENIN, juges assesseurs ; Madame Véronique AMAUDRY- PISCETTA, greffière. La présidente :</w:t>
      </w:r>
    </w:p>
    <w:p>
      <w:r>
        <w:t>La greffière :</w:t>
      </w:r>
    </w:p>
    <w:p>
      <w:r>
        <w:t>Verena PEDRAZZINI RIZZI Véronique AMAUDRY-PISCETTA</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r>
        <w:rPr>
          <w:b/>
        </w:rPr>
        <w:t>E. 5</w:t>
      </w:r>
    </w:p>
    <w:p>
      <w:r>
        <w:t>avril 2013 consid. 4.2 et 4.3; 7B_207/2005 du 29 novembre 2005 consid. 2.3.3).</w:t>
      </w:r>
    </w:p>
    <w:p>
      <w:r>
        <w:t>2.1.2 Plus singulièrement, les compétences de l’office sont limitées aux mesures proprement dites d’exécution du séquestre, ainsi qu’au contrôle de la régularité formelle de l’ordonnance de séquestre (arrêt du Tribunal fédéral 5A_947/2012 du 14 mai 2013 consid. 4.1; 5A_925/2012 du 5 avril 2013 consid. 4.3; 5A_883/2012 du 18 janvier 2013). À cet égard, l’office vérifiera que toutes les mentions prescrites par l’art. 274 al. 2 ch. 1 et 4 LP figurent dans l’ordonnance ou encore que la désignation des biens y soit suffisamment précise pour permettre une exécution sans risque de confusion ou d’équivoque (ATF 142 III 291 consid. 2.1). Ce pouvoir d’examen entre par définition dans les attributions d’un organe d’exécution qui ne peut donner suite à un ordre lacunaire, imprécis ou entaché d’un défaut qui le rend inopérant, ni exécuter un séquestre nul (ATF 136 III 379</w:t>
      </w:r>
    </w:p>
    <w:p>
      <w:r>
        <w:t>- 5/7 -</w:t>
      </w:r>
    </w:p>
    <w:p>
      <w:r>
        <w:t>A/2318/2025-CS consid. 3.1; 129 III 203 consid. 2.2 et 2.3; arrêt du Tribunal fédéral 5A_883/2012 du 18 janvier 2013 consid. 6.1.2; 5A_483/2008 du 29 août 2008 consid. 5.3).</w:t>
      </w:r>
    </w:p>
    <w:p>
      <w:r>
        <w:t>2.1.3 Le séquestre ne peut être ordonné que si les biens à séquestrer appartiennent effectivement au débiteur (art. 272 al. 1 ch. 3 LP). Lors de l’adoption de l’art. 272 al. 1 ch. 3 LP, le législateur a cependant voulu que le créancier puisse aussi faire séquestrer des biens au nom ou en possession d’un tiers, s’il rend vraisemblable que ces biens appartiennent en réalité au débiteur. Le créancier doit ainsi fournir les noms des tiers qui paraissent être nominalement les ayants droit des biens à séquestrer ou, à défaut, d’autres éléments susceptibles de rendre vraisemblable qu’il s’agit de biens du débiteur au nom de tiers (ATF 126 III 95 consid. 4a). La question de savoir si le créancier a réussi à rendre vraisemblable que certaines valeurs appartiennent au débiteur malgré l’apparence formelle contraire relève de la compétence du juge du séquestre. Il n’appartient ni à l’Office ni aux autorités de surveillance de se prononcer sur les conditions de fond du séquestre, en particulier celles qui concernent la propriété ou la titularité des biens à séquestrer, tâches qui relèvent de la compétence du tribunal (art. 272 et 278 LP) (ATF 130 III 579 consid. 2.2.4; 149 III 124 consid. 2.5; 142 III 348 consid. 3.1).</w:t>
      </w:r>
    </w:p>
    <w:p>
      <w:r>
        <w:t>Dans la mesure où le créancier rend vraisemblable que des biens formellement au nom de tiers appartiennent au débiteur, le séquestre peut aussi porter sur les biens dont celui-ci est l’ayant droit économique (ATF 130 III 579 consid. 2.2.3). Dans ces cas, l’ordonnance de séquestre doit expressément désigner ce tiers (cf. DCSO/356/2020 du 16 juillet 2020; arrêt du Tribunal fédéral 5A_730/2016 du 20 décembre 2016 consid. 3.2.2).</w:t>
      </w:r>
    </w:p>
    <w:p>
      <w:r>
        <w:t>L’office des poursuites ne pourra cependant pas refuser de séquestrer des biens de tierces personnes s’ils sont clairement désignés, même si le juge du séquestre a omis de vérifier que ceux-ci fassent partie du patrimoine du débiteur ou que la revendication du tiers soit inopposable au créancier (JAQUES, La saisie et le séquestre des droits patrimoniaux dont le débiteur est l'ayant droit économique, ZZZ 2005, 307 ss,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