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DCSO/678/2017 vom 14. Dezember 2017</w:t>
      </w:r>
    </w:p>
    <w:p>
      <w:r>
        <w:t>GE Cour de justice, 2017-12-14, FR</w:t>
      </w:r>
    </w:p>
    <w:p>
      <w:r>
        <w:rPr>
          <w:b/>
        </w:rPr>
        <w:t xml:space="preserve">Quelle: </w:t>
      </w:r>
      <w:r>
        <w:t>https://mcp.opencaselaw.ch/entscheid/ge_gerichte_DCSO_678_2017</w:t>
      </w:r>
    </w:p>
    <w:p>
      <w:r>
        <w:t>FR: GE_GERICHTE DCSO/678/2017 du 14 décembre 2017</w:t>
      </w:r>
    </w:p>
    <w:p>
      <w:r>
        <w:t>IT: GE_GERICHTE DCSO/678/2017 del 14 dicembre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L'Office fonde sa décision de non-lieu de notification du commandement de payer – qui correspond à un refus de procéder à cette notification et donc de donner suite à la réquisition de poursuite – sur l'absence d'un for de poursuite à Genève.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correspond au domicile du débiteur, ainsi qu'un nombre très limité de fors spéciaux (art. 48 à 52 LP).</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(DCSO/579/05 du 13 octobre 2005 consid. 3c; DCSO/219/07 du 3 mai 2007 consid. 2d; DCSO/39/14 du 6 février 2014 consid. 2.1).</w:t>
      </w:r>
    </w:p>
    <w:p>
      <w:r>
        <w:t>C'est en premier lieu au créancier poursuivant qu'il incombe de fournir à l'Office les indications relatives au domicile du débiteur (art. 67 al. 1 ch. 2 LP). L'Office doit pour sa part vérifier ces indications, dès lors que sa compétence en dépend (ATF 120 III 110 consid. 1a). Si l'indication donnée par le créancier se révèle inexacte,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w:t>
      </w:r>
    </w:p>
    <w:p>
      <w:r>
        <w:t>- 4/5 -</w:t>
      </w:r>
    </w:p>
    <w:p>
      <w:r>
        <w:t>A/3481/2017-CS</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w:t>
      </w:r>
    </w:p>
    <w:p>
      <w:r>
        <w:rPr>
          <w:b/>
        </w:rPr>
        <w:t>E. 2.2</w:t>
      </w:r>
    </w:p>
    <w:p>
      <w:r>
        <w:t>Dans le cas d'espèce, l'adresse indiquée par la poursuivante sur sa réquisition de poursuite était inexacte. Il résulte en effet de la mention apposée par la Poste sur les actes retournés à l'Office que la débitrice y était inconnue, ce qui a été confirmé par le représentant du propriétaire de l'immeuble. L'Office a alors lui- même procédé à des recherches, qui sont toutefois demeurées infructueuses. Il aurait certes dû, avant de rendre la décision contestée, interpeller la poursuivante sur une éventuelle autre adresse; cette omission est toutefois sans conséquence puisque la plaignante a elle-même indiqué que ses propres recherches étaient demeurées vaines.</w:t>
      </w:r>
    </w:p>
    <w:p>
      <w:r>
        <w:t>Certes, le fait que l'adresse de la débitrice ne puisse être déterminée ne permettait pas encore à l'Office de considérer qu'il n'existait aucun for ordinaire de poursuite à Genève. Il ressort en effet des registres de l'OCPM que la dernière adresse connue de la poursuivie était à Genève de telle sorte que, quand bien même sa résidence actuelle était inconnue, il n'était pas exclu qu'elle ait conservé son domicile dans le canton.</w:t>
      </w:r>
    </w:p>
    <w:p>
      <w:r>
        <w:t>Il résulte toutefois des recherches complémentaires effectuées dans ses propres registres par l'Office consécutivement au dépôt de la plainte que, dans une réquisition de poursuite qu'elle a déposée le 10 mars 2017, la débitrice elle-même a indiqué être domiciliée à H______, en France voisine. Cette déclaration, qu'aucun autre élément du dossier ne permet de remettre en doute, conduit à retenir que la poursuivie a quitté son domicile genevois pour s'en constituer un nouveau en France.</w:t>
      </w:r>
    </w:p>
    <w:p>
      <w:r>
        <w:t>Faute d'un for de poursuite ordinaire à Genève, et la plaignante ne soutenant pas que les conditions d'un for spécial seraient réalisées, c'est à juste titre que l'Office a refusé de donner suite à la réquisition de poursuite datée du 26 juin 2017. La plainte doit donc être rejetée.</w:t>
      </w:r>
    </w:p>
    <w:p>
      <w:r>
        <w:rPr>
          <w:b/>
        </w:rPr>
        <w:t>E. 3</w:t>
      </w:r>
    </w:p>
    <w:p>
      <w:r>
        <w:t>La procédure de plainte est gratuite (art. 20a al. 2 ch. 5 LP et art. 61 al. 2 let. a OELP) et il ne peut être alloué aucuns dépens dans cette procédure (art. 62 al. 2 OELP).</w:t>
      </w:r>
    </w:p>
    <w:p>
      <w:r>
        <w:t>- 5/5 -</w:t>
      </w:r>
    </w:p>
    <w:p>
      <w:r>
        <w:t>A/3481/2017-CS PAR CES MOTIFS, La Chambre de surveillance : A la forme : Déclare recevable la plainte formée le 24 août 2017 par A______ contre la décision de non-lieu rendue le 10 août 2017 par l'Office des poursuites dans la poursuite n° 17 xxxx05 S.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