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DCSO/668/2018 vom 13. Dezember 2018</w:t>
      </w:r>
    </w:p>
    <w:p>
      <w:r>
        <w:t>GE Cour de justice, 2018-12-13, FR</w:t>
      </w:r>
    </w:p>
    <w:p>
      <w:r>
        <w:rPr>
          <w:b/>
        </w:rPr>
        <w:t xml:space="preserve">Quelle: </w:t>
      </w:r>
      <w:r>
        <w:t>https://mcp.opencaselaw.ch/entscheid/ge_gerichte_DCSO_668_2018</w:t>
      </w:r>
    </w:p>
    <w:p>
      <w:r>
        <w:t>FR: GE_GERICHTE DCSO/668/2018 du 13 décembre 2018</w:t>
      </w:r>
    </w:p>
    <w:p>
      <w:r>
        <w:t>IT: GE_GERICHTE DCSO/668/2018 del 13 dicembre 2018</w:t>
      </w:r>
    </w:p>
    <w:p>
      <w:pPr>
        <w:pStyle w:val="Heading2"/>
      </w:pPr>
      <w:r>
        <w:t>Erwägungen</w:t>
      </w:r>
    </w:p>
    <w:p>
      <w:r>
        <w:rPr>
          <w:b/>
        </w:rPr>
        <w:t>E. 1</w:t>
      </w:r>
    </w:p>
    <w:p>
      <w:r>
        <w:t>La plainte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sujette à plainte (TSCHUMY, in CR LP, 2005, n. 7 ad art. 107 LP et n. 3 ad art. 108 LP).</w:t>
      </w:r>
    </w:p>
    <w:p>
      <w:r>
        <w:rPr>
          <w:b/>
        </w:rPr>
        <w:t>E. 2.1.1</w:t>
      </w:r>
    </w:p>
    <w:p>
      <w:r>
        <w:t>L'office des poursuites doit déterminer spontanément les faits pertinents pour l'exécution de la saisie (art. 89 LP; ATF 108 III 10, JdT 1984 II 18 et les références citées).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LP, n. 12 ad art. 91 LP). L'office ne saurait se contenter des indications données par le poursuivi, ni se borner à enregistrer ses déclarations. Il doit les vérifier, en exigeant la production de toutes pièces utiles et au besoin en se rendant sur place (ATF 124 III 170 consid. 4a; 83 III 63 consid. 1; GILLIERON, op. cit., n. 19 ad art. 91; WINKLER, KUKO SchKG, 2ème éd. 2014,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l'ayant-droit économique (ATF 129 III 239 consid. 1; 107 III 67 consid. 3; GILLIERON, op. cit., n. 19 ad art. 91 LP). Le poursuivi assume des obligations en vue et lors de l'exécution de la saisie. L'huissier qui effectue la saisie doit se soucier qu'il les remplisse, en le lui rappelant et en attirant son attention sur les conséquences pénales de leur inobservation (art. 91 al. 1 in initio et al. 4 LP ; GILLIERON, op. cit., n. 18 ad art. 91 LP). L'art. 17 LaLP prévoit à cet égard que le préposé ou l'administration de la masse dressent les procès-verbaux constatant les infractions prévues aux</w:t>
      </w:r>
    </w:p>
    <w:p>
      <w:r>
        <w:t>- 8/12 -</w:t>
      </w:r>
    </w:p>
    <w:p>
      <w:r>
        <w:t>A/1336/2018-CS articles 145, 159, 163 à 171 bis, 323 à 325 du code pénal et les transmettent au Ministère public.</w:t>
      </w:r>
    </w:p>
    <w:p>
      <w:r>
        <w:rPr>
          <w:b/>
        </w:rPr>
        <w:t>E. 2.1.2</w:t>
      </w:r>
    </w:p>
    <w:p>
      <w:r>
        <w:t>Le législateur a admis la saisie de biens se trouvant en mains de tiers (art. 91 al. 1 ch. 2, 98 al. 2 et 109 LP). Le fait que le tiers détenteur ou toute autre personne s'en prétende propriétaire, ou que le débiteur prétende ne pas être le propriétaire d'un objet en mains d'un tiers, ne fait donc pas obstacle à la saisie (cf. art. 95 al. 3 et 109 LP). Des doutes ou des litiges sur la propriété des choses ou des droits à saisir ne font pas obstacle à l'exécution de la saisie, mais obligent uniquement l'office à ouvrir une procédure en revendication, au sens des art. 106 à 109 LP, laquelle permet au tiers, titulaire du droit patrimonial mis sous mains de justice, d'obtenir qu'il soit soustrait à l'exécution forcée dans la poursuite en cours (GILLIERON, op. cit., n. 42 ad art. 91, n. 12-13 ad art. 106 et n. 44 ad art. 275; ATF 129 III 239, JdT 2003 II 100 et les références citées).</w:t>
      </w:r>
    </w:p>
    <w:p>
      <w:r>
        <w:rPr>
          <w:b/>
        </w:rPr>
        <w:t>E. 2.1.3</w:t>
      </w:r>
    </w:p>
    <w:p>
      <w:r>
        <w:t>Dans des circonstances exceptionnelles, 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(arrêt 5A_876/2015 du 22 avril 2016, consid. 4.2).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Au contraire, lorsque cette dualité est invoquée de façon abusive, c'est-à- dire pour en tirer un avantage injustifié, on doit admettre que, conformément à la réalité économique, il y a identité de personnes et que les rapports de droit liant l'une lient également l'autre; ce sera notamment le cas lorsque la dualité des sujets est invoquée par le débiteur dans le seul but de se soustraire abusivement à l'exécution forcée (art. 2 al. 2 CC; ATF 105 III 107 consid. 3a; arrêt 5A_876/2015 déjà cité, consid. 4.2 et les réf. citées).</w:t>
      </w:r>
    </w:p>
    <w:p>
      <w:r>
        <w:rPr>
          <w:b/>
        </w:rPr>
        <w:t>E. 2.2.1</w:t>
      </w:r>
    </w:p>
    <w:p>
      <w:r>
        <w:t>Lorsqu'un tiers revendique un droit de propriété ou de gage, ou un autre droit, sur l'objet saisi ou séquestré (cf. art. 275 LP),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w:t>
      </w:r>
    </w:p>
    <w:p>
      <w:r>
        <w:t>- 9/12 -</w:t>
      </w:r>
    </w:p>
    <w:p>
      <w:r>
        <w:t>A/1336/2018-CS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 prétention ont toutes deux la même apparence de bien-fondé, c'est la procédure prévue par l'art. 108 LP, évoquant le cas de la copossession, qui doit trouver application, au bénéfice du tiers revendiquant (STAEHELIN, in SchKG II, n. 15 ad art. 107 LP et la jurisprudence citée). 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w:t>
      </w:r>
    </w:p>
    <w:p>
      <w:r>
        <w:rPr>
          <w:b/>
        </w:rPr>
        <w:t>E. 2.2.2</w:t>
      </w:r>
    </w:p>
    <w:p>
      <w:r>
        <w:t>Pour que l'office puisse prendre les dispositions nécessaires à la mise en œuvre de la procédure de revendication, il faut que la contestation justifiant ladite procédure parvienne à sa connaissance. La loi ne pose pas d'exigence de forme particulière en ce qui concerne la déclaration de revendication, qui peut être orale ou écrite. Elle peut émaner du débiteur qui doit, en vertu des art. 91 ch. 2 et 95 LP, indiquer à l'office quels sont les biens dont il n'a pas, à première vue, la titularité et ceux dont il a, à première vue, la titularité et qui sont l'objet de prétentions de tiers de nature à faire échec aux mesures d'exécution forcée ou à avoir une influence sur le résultat desdites mesures. La déclaration peut également émaner d'un tiers, spécialement du tiers revendiquant qui entend faire valoir ses droits sur le bien en cause (TSCHUMY, op. cit., n. 7 à 9 ad art. 106 LP et les références). La loi ne fixe aucun délai pour former la déclaration de revendication des biens saisis ou séquestrés (art. 106 à 109 et 275 LP). Selon une jurisprudence constante, la déclaration en question peut donc intervenir, en principe, dès le moment où l'intéressé a eu connaissance de l'exécution valide de la saisie ou du séquestre jusqu'à la distribution des deniers (art. 106 al. 2 LP; arrêt 7B_15/2005 du 1er mars 2005 consid. 3 et les références). Toutefois, une annonce tardive par le tiers de ses prétentions pouvant compromettre les droits du créancier – qui aura soit accompli</w:t>
      </w:r>
    </w:p>
    <w:p>
      <w:r>
        <w:t>- 10/12 -</w:t>
      </w:r>
    </w:p>
    <w:p>
      <w:r>
        <w:t>A/1336/2018-CS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120 III 123 consid. 2a et les références). Une déclaration de revendication différée de plus de cinq mois doit en règle générale être considérée comme tardive (arrêt du Tribunal fédéral 5A_429/2010 du 11 août 2010 consid. 2; ATF 106 III 57 consid. 2; 104 III 42 consid. 5).</w:t>
      </w:r>
    </w:p>
    <w:p>
      <w:r>
        <w:rPr>
          <w:b/>
        </w:rPr>
        <w:t>E. 3.1</w:t>
      </w:r>
    </w:p>
    <w:p>
      <w:r>
        <w:t>En l'espèce, la plaignante reproche – avec raison – à l'Office son manque de diligence et de rigueur dans le traitement de la poursuite litigieuse. Ainsi, en dépit des instructions données par la Chambre de céans dans sa décision du 17 décembre 2017 (DCSO/670/2017), l'Office s'est contenté d'enregistrer les déclarations de l'assistante de F______ SA, sans les vérifier, pour retenir que les actions saisies ne se trouvaient pas dans les locaux de cette société et, partant, s'épargner un constat sur place. Par ailleurs, à l'occasion de l'interrogatoire du débiteur du 9 février 2018, l'Office n'a, curieusement, pas demandé à celui-ci où se trouvait le certificat d'actions, alors qu'il avait pour mission de le prendre sous sa garde. Enfin, confronté au manque de collaboration du débiteur, qui n'a pas versé les retenues imposées sur ses gains ni présenté sa I______ à la salle des ventes – sans pour autant contester le procès-verbal de saisie du 3 août 2017 –, l'Office n'a pas jugé utile de recourir aux mesures coercitives que lui confère la loi, prétextant attendre l'issue de la présente procédure – pourtant sans lien avec les actes d'entrave à la saisie susvisés – avant d'agir. Il lui sera rappelé ici qu'il est tenu, en vertu de l'art. 17 LaLP, de dénoncer au Ministère public les infractions pénales qu'il serait amené à constater dans l'exécution de ses tâches.</w:t>
      </w:r>
    </w:p>
    <w:p>
      <w:r>
        <w:rPr>
          <w:b/>
        </w:rPr>
        <w:t>E. 3.2</w:t>
      </w:r>
    </w:p>
    <w:p>
      <w:r>
        <w:t>C'est également à juste titre que la plaignante fait grief à l'Office d'avoir réparti les rôles procéduraux dans le procès en revendication avant même d'avoir déterminé le lieu de situation des actions à saisir et l'identité de leur/s détenteur/s (cf. supra consid. 2.2.1), ce qui contrevient aux art. 106 ss LP. A cet égard, l'instruction de la cause a permis d'établir qu'en dépit de ses déclarations initiales, le débiteur a conservé les actions de F______ SA en ses mains, respectivement en mains de l'étude d'avocats assurant la défense de ses intérêts. Contrairement à ce que soutient la plaignante, le fait que le débiteur a informé l'Office (en juin 2017 et en février 2018) que, selon lui, les actions étaient devenues la propriété de G______ SARL, en vertu de la convention de vente du 18 juin 2012, correspond à une déclaration de revendication telle que définie ci- dessus (consid. 2.2.2). En revanche, elle soutient à raison que les actions n'ont pas été revendiquées par G______ SARL – cette société n'ayant jamais contacté l'Office à son nom et pour son propre compte –, bien qu'elle ait été avisée de la saisie, par l'intermédiaire de son gérant et actionnaire unique, il y a déjà de nombreux mois.</w:t>
      </w:r>
    </w:p>
    <w:p>
      <w:r>
        <w:t>- 11/12 -</w:t>
      </w:r>
    </w:p>
    <w:p>
      <w:r>
        <w:t>A/1336/2018-CS En l'occurrence, le bien revendiqué est un certificat d'actions, soit un bien mobilier. Les circonstances concrètes permettent de retenir que ce certificat se trouve en possession du débiteur, celui-ci exerçant, dans les faits, une maîtrise exclusive sur ce bien. S'il conteste être le titulaire légitime des actions – question que l'Office et la Chambre de céans n'ont pas à trancher – le débiteur s'est néanmoins engagé, à titre personnel et non pour le compte d'un tiers, à déposer le certificat d'actions auprès de l'Office; cela vient confirmer qu'il en est le seul détenteur de fait. Cette apparence est d'ailleurs renforcée au vu des liens particulièrement étroits qui unissent le débiteur à F______ SA et à G______ SARL, ainsi que du contexte ayant entouré la signature de la convention de vente d'actions du 12 juin 2012, date à laquelle il était actionnaire et administrateur/ associé gérant unique des deux sociétés (cf. supra EN FAIT, let. A.k), étant relevé que cette constellation qui subsiste à ce jour. Il suit de là que la procédure de revendication doit se dérouler en application de l'art. 107 LP et non de l'art. 108 LP, faute pour les actions saisies d'être en possession ou copossession de G______ SARL. C'est donc à cette dernière que l'Office aurait dû impartir un délai de 20 jours pour agir en constatation de son droit auprès du juge compétent.</w:t>
      </w:r>
    </w:p>
    <w:p>
      <w:r>
        <w:rPr>
          <w:b/>
        </w:rPr>
        <w:t>E. 3.3</w:t>
      </w:r>
    </w:p>
    <w:p>
      <w:r>
        <w:t>Au vu des considérations qui précèdent, la plainte sera admise et la décision attaquée annulée. Il appartient à l'Office, si ce n'est déjà fait, de mettre en œuvre tous les moyens d'action à sa disposition – avec célérité et diligence – afin de prendre les actions de F______ SA sous sa garde. Cela fait, l'Office devra prendre les dispositions utiles pour ouvrir la procédure en revendication, en conformité avec l'art. 107 LP et non avec l'art. 108 LP qui ne trouve pas application in casu.</w:t>
      </w:r>
    </w:p>
    <w:p>
      <w:r>
        <w:rPr>
          <w:b/>
        </w:rPr>
        <w:t>E. 4</w:t>
      </w:r>
    </w:p>
    <w:p>
      <w:r>
        <w:t>La procédure de plainte est gratuite (art. 20a al. 2 ch. 5 LP et art. 61 al. 2 let. a OELP) et il n'est alloué aucuns dépens (art. 62 al. 2 OELP).</w:t>
      </w:r>
    </w:p>
    <w:p>
      <w:r>
        <w:t>* * * * *</w:t>
      </w:r>
    </w:p>
    <w:p>
      <w:r>
        <w:t>- 12/12 -</w:t>
      </w:r>
    </w:p>
    <w:p>
      <w:r>
        <w:t>A/1336/2018-CS PAR CES MOTIFS, La Chambre de surveillance : A la forme : Déclare recevable la plainte formée le 23 avril 2018 par A______ SA contre la décision de l'Office des poursuites du 9 avril 2018 lui fixant un délai pour ouvrir action selon l'art. 108 LP, dans le cadre de la série n° 1______. Au fond : L'admet. Annule la décision attaquée. Ordonne à l'Office, si ce n'est déjà fait, de prendre les actions de F______ SA sous sa garde. Enjoint l'Office à procéder dans le sens du considérant 3 de la présente décision pour le surplus. Siégeant : Madame Nathalie RAPP, présidente; Messieurs Georges ZUFFEREY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