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DCSO/65/2012 vom 23. Februar 2012</w:t>
      </w:r>
    </w:p>
    <w:p>
      <w:r>
        <w:t>GE Cour de justice, 2012-02-23, FR</w:t>
      </w:r>
    </w:p>
    <w:p>
      <w:r>
        <w:rPr>
          <w:b/>
        </w:rPr>
        <w:t xml:space="preserve">Quelle: </w:t>
      </w:r>
      <w:r>
        <w:t>https://mcp.opencaselaw.ch/entscheid/ge_gerichte_DCSO_65_2012</w:t>
      </w:r>
    </w:p>
    <w:p>
      <w:r>
        <w:t>FR: GE_GERICHTE DCSO/65/2012 du 23 février 2012</w:t>
      </w:r>
    </w:p>
    <w:p>
      <w:r>
        <w:t>IT: GE_GERICHTE DCSO/65/2012 del 23 febbraio 2012</w:t>
      </w:r>
    </w:p>
    <w:p>
      <w:pPr>
        <w:pStyle w:val="Heading2"/>
      </w:pPr>
      <w:r>
        <w:t>Regeste</w:t>
      </w:r>
    </w:p>
    <w:p>
      <w:r>
        <w:t>Résumé: Le rapport de concubinage, dont sont issus des enfants, doit être traité du point de vue du calcul du minimum vital de la même manière qu'une communauté matrimoniale. Les frais liés à l'entretien de l'enfant pendant l'exercice du droit de visite peuvent être pris en considération dans le minimum vital du débiteur. L'estimation des objets saisis doit être faite en fonction du produit probable d'une vente aux enchères forcée.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le procès-verbal litigieux, expédié le 30 novembre 2011, a été reçu par le plaignant le 1er décembre 2011. Formée le 8 décembre 2011, la plainte l'a été en temps utile. Respectant pour le surplus les exigences de forme posées par la loi (art. 9 al. 1 LaLP), la présente plainte est recevable. 2.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(ATF 7B.200/2003 du 11 novembre 2003 consid. 4 (non publié aux ATF 130 III 45); ATF 115 III 103 consid. 1c, JdT 1991 II 108), est déterminé sur la base des Normes d'insaisissabilité édictées par l'autorité de surveillance pour le canton de Genève, en vigueur lors de l'exécution de la saisie, soit en l'occurrence les Normes d'insaisissabilité pour l'année 2011 (RS/GE E 3 60.04). Il convient d'ajouter à la base mensuelle, selon lesdites Normes d'insaisissabilité (ch. I),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que, pour autant qu'elles soient raisonnables, les dépenses supplémentaires auxquelles le débiteur doit faire face de manière imminente telles que frais médicaux,</w:t>
      </w:r>
    </w:p>
    <w:p>
      <w:r>
        <w:t>- 5/10 -</w:t>
      </w:r>
    </w:p>
    <w:p>
      <w:r>
        <w:t>A/4205/2011-CS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Tout comme avec l'Office, le débiteur est tenu de collaborer avec la Chambre de céans pour établir le total de ses revenus et de ses charges (art. 91 LP).</w:t>
      </w:r>
    </w:p>
    <w:p>
      <w:r>
        <w:rPr>
          <w:b/>
        </w:rPr>
        <w:t>E. 3</w:t>
      </w:r>
    </w:p>
    <w:p>
      <w:r>
        <w:t>Le plaignant conteste la saisie litigieuse dans la mesure où son minimum vital a été fixé en tenant compte du fait qu'il fait ménage commun avec son amie, circonstance qui selon lui ne devrait pas être prise en considération (plainte, ch. 8; PV de CP du 6.02.2012, pp. 3 et 4). Selon la jurisprudence du Tribunal fédéral, le rapport de concubinage, dont sont issus des enfants, doit être traité du point de vue du calcul du minimum vital pour l'essentiel de la même manière qu'une communauté matrimoniale (ATF 130 III 765 consid. 2.2 et 2.3 et les réf. citées, JdT 2006 II 133; 128 III 159 consid. 3b, JdT 2002 II 58; 109 III 101 consid. 2, rés. in JdT 1986 II 56; 106 III 11 consid. 3c, JdT 1981 II 145; GILLIERON, in Commentaire de la LP, ad art. 93 LP n° 115). L'assimilation des rapports de concubinage, dont sont issus des enfants, aux rapports familiaux dans le mariage implique donc de faire un calcul global en prenant en compte les revenus nets des deux concubins, le montant mensuel de base applicable aux couples mariés, soit 1'700 fr. selon le ch. I.3 des Normes d'insaisissabilité, ainsi que l'ensemble des charges de la communauté formée par les concubins. En l'espèce, le plaignant ne conteste pas que les rapports de concubinage qu'il entretient avec sa partenaire sont durables. Dès lors, son minimum d'existence doit être examiné selon un calcul global de manière analogue à la situation de conjoints. Or force est de constater que c'est bien ce que l'Office a fait. La plainte est donc, sur ce point, infondée.</w:t>
      </w:r>
    </w:p>
    <w:p>
      <w:r>
        <w:t>- 6/10 -</w:t>
      </w:r>
    </w:p>
    <w:p>
      <w:r>
        <w:t>A/4205/2011-CS</w:t>
      </w:r>
    </w:p>
    <w:p>
      <w:r>
        <w:rPr>
          <w:b/>
        </w:rPr>
        <w:t>E. 4</w:t>
      </w:r>
    </w:p>
    <w:p>
      <w:r>
        <w:t>Le plaignant considère que l'Office n'a pas tenu compte du fait qu'il avait payé au SCARPA 2'000 fr. par mois au titre des contributions d'entretien dues pour l'entretien de sa famille jusqu'au 29 juillet 2011 et qu'il n'avait réduit ses versements à concurrence de 1'380 fr. par mois qu'à compter d'août 2011 (plainte, ch. 1 et 6; PV de CP du 6.02.2012, p. 2; pièce 2 plaignant).</w:t>
      </w:r>
    </w:p>
    <w:p>
      <w:r>
        <w:t>Force est toutefois de constater qu'au moment de la notification de l'avis de saisie à l'employeur du débiteur, le 14 juillet 2011, l'Office a bien tenu compte de paiements de 2'000 fr. par mois, cette somme n'étant ramenée à 1'380 fr qu'à compter du 13 septembre 2011 (cf. PV de saisie, p. 4; PV de CP du 6.02.2012, p. 2). La plainte s'avère ainsi à cet égard mal fondée.</w:t>
      </w:r>
    </w:p>
    <w:p>
      <w:r>
        <w:rPr>
          <w:b/>
        </w:rPr>
        <w:t>E. 5</w:t>
      </w:r>
    </w:p>
    <w:p>
      <w:r>
        <w:t>Le plaignant fait grief à l'Office d'avoir déduit le montant des allocations familiales des montants de base de ses enfants C______ et D______ (plainte, ch. 5). Le poursuivi ayant une obligation légale d'entretien envers ses deux enfants nés hors mariage et qu'il a reconnus, c'est à juste titre que l'Office a tenu compte dans son minimum vital du montant de base mensuel d'entretien de 400 fr. pour chacun d'eux (Normes d'insaisissabilité, ch. I.4.), duquel il convient de déduire le montant des allocations familiales (cf. DCSO/172/2011 du 26 mai 2011, consid. 2.1.1 et les réf. citées). La plainte doit dès lors être rejetée sur ce point.</w:t>
      </w:r>
    </w:p>
    <w:p>
      <w:r>
        <w:rPr>
          <w:b/>
        </w:rPr>
        <w:t>E. 6</w:t>
      </w:r>
    </w:p>
    <w:p>
      <w:r>
        <w:t>Le plaignant allègue que son assurance-maladie se monte à 509 fr. 15 et non à 411 fr. 90 comme retenu par l'Office (plainte, ch. 7). Il produit à cet égard un décompte de primes daté du 8 octobre 2011 (pièce 8), soit postérieur de plusieurs mois à son interrogatoire par l'Office.</w:t>
      </w:r>
    </w:p>
    <w:p>
      <w:r>
        <w:t>Dès lors que l'Office doit opérer son calcul sur la base des faits existant au moment de l'exécution de la saisie, l'on ne saurait lui reprocher de ne pas avoir tenu compte d'un fait qu'il ne pouvait connaître. Au reste, le plaignant ne démontre pas payer effectivement les primes d'assurance-maladie dont il se prévaut. Le grief est donc sans fondement. Il sera, à toutes fins utiles, rappelé que le poursuivi ne peut faire valoir des modifications ultérieures de la situation de fait par la voie de la plainte, mais dans une demande de révision de la saisie adressée à l'Office (ATF 108 III 10 consid. 4, JdT 1984 II 18).</w:t>
      </w:r>
    </w:p>
    <w:p>
      <w:r>
        <w:rPr>
          <w:b/>
        </w:rPr>
        <w:t>E. 7</w:t>
      </w:r>
    </w:p>
    <w:p>
      <w:r>
        <w:t>Le poursuivi se plaint du fait que l'Office n'a pas pris en compte les frais de transport relatifs à ses enfants A______ et D______, qu'il vient chercher à l'école en voiture quatre fois par semaine (plainte, ch. 9; PV de CP du 6.02.12, p. 3). Les frais liés à l'entretien de l'enfant pendant l'exercice du droit de visite doivent être pris en considération dans le minimum vital du débiteur. Il faut, à cet égard,</w:t>
      </w:r>
    </w:p>
    <w:p>
      <w:r>
        <w:t>- 7/10 -</w:t>
      </w:r>
    </w:p>
    <w:p>
      <w:r>
        <w:t>A/4205/2011-CS déterminer le nombre de jours pendant lesquels s'exerce le droit de visite et y appliquer proportionnellement le montant de la base mensuelle d’entretien des enfants prévu par les Normes d'insaisissabilité, soit 400 fr. par enfant jusqu'à l'âge de 10 ans (ch. I.4; SJ 2000 II 214). En l'espèce, il résulte du jugement de mesures protectrices de l'union conjugale produit par le plaignant (JTPI/2163/2009 du 18 février 2009; pièce 6) que le droit de visite de ce dernier sur ses fils A______ et B______ s'exerce, sauf accord contraire des parties, du mardi soir à 18h au mercredi matin à 10h, un week-end sur deux, du vendredi soir à 18h au dimanche soir à 18h, et la moitié des vacances scolaires. Ce jugement a toutefois été modifié par arrêt de la Cour de justice du</w:t>
      </w:r>
    </w:p>
    <w:p>
      <w:r>
        <w:rPr>
          <w:b/>
        </w:rPr>
        <w:t>E. 12</w:t>
      </w:r>
    </w:p>
    <w:p>
      <w:r>
        <w:t>La présente décision est rendue sans frais ni dépens (art. 20a al. 2 ch. 5 LP, 61 al. 2 let. a et 62 al. 2 OELP). * * * * *</w:t>
      </w:r>
    </w:p>
    <w:p>
      <w:r>
        <w:t>- 10/10 -</w:t>
      </w:r>
    </w:p>
    <w:p>
      <w:r>
        <w:t>A/4205/2011-CS PAR CES MOTIFS, La Chambre de surveillance : A la forme : Déclare recevable la plainte formée le 8 décembre 2011 par M. L______ à l'encontre du procès-verbal de saisie expédié le 30 novembre 2011 dans le cadre des poursuites formant la série n° 10 xxxx17 S. Au fond : La rejette, dans la mesure de sa recevabilité.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