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DCSO/654/2017 vom 30. November 2017</w:t>
      </w:r>
    </w:p>
    <w:p>
      <w:r>
        <w:t>GE Cour de justice, 2017-11-30, FR</w:t>
      </w:r>
    </w:p>
    <w:p>
      <w:r>
        <w:rPr>
          <w:b/>
        </w:rPr>
        <w:t xml:space="preserve">Quelle: </w:t>
      </w:r>
      <w:r>
        <w:t>https://mcp.opencaselaw.ch/entscheid/ge_gerichte_DCSO_654_2017</w:t>
      </w:r>
    </w:p>
    <w:p>
      <w:r>
        <w:t>FR: GE_GERICHTE DCSO/654/2017 du 30 novembre 2017</w:t>
      </w:r>
    </w:p>
    <w:p>
      <w:r>
        <w:t>IT: GE_GERICHTE DCSO/654/2017 del 30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- 4/5 -</w:t>
      </w:r>
    </w:p>
    <w:p>
      <w:r>
        <w:t>A/2967/2017-CS</w:t>
      </w:r>
    </w:p>
    <w:p>
      <w:r>
        <w:rPr>
          <w:b/>
        </w:rPr>
        <w:t>E. 2.2</w:t>
      </w:r>
    </w:p>
    <w:p>
      <w:r>
        <w:t>Il ressort en l'occurrence du dossier et des explications de l'Office que ce dernier a établi le commandement de payer le 31 mars 2017 alors qu'il avait reçu la réquisition de poursuite le 23 janvier 2017. En l'absence de circonstances particulières – aucune n'étant invoquée par l'Office – un tel délai de plus de deux mois doit être considéré comme excessif au regard de l'exigence de célérité imposée par l'art. 69 al. 1 LP. Un retard non justifié doit donc être constaté à cet égard. La procédure de notification s'est ensuite déroulée sans désemparer jusqu'à ce jour, sous réserve de quelques lenteurs dans le courant du mois de juin 2017, de telle sorte qu'il n'y a pas lieu de constater un retard non justifié de la part de l'Office sur ce point. L'attention de ce dernier sera cependant attirée sur le fait que les conditions d'une notification par voie de publication – en particulier son caractère subsidiaire en relation avec les modes de notification prévus par l'art. 64 al. 2 LP – ne paraissent prima facie pas réalisées. La plainte est pour le surplus sans objet, le commandement de payer ayant été établi.</w:t>
      </w:r>
    </w:p>
    <w:p>
      <w:r>
        <w:rPr>
          <w:b/>
        </w:rPr>
        <w:t>E. 3</w:t>
      </w:r>
    </w:p>
    <w:p>
      <w:r>
        <w:t>La procédure de plainte est gratuite (art. 20a al. 2 ch. 5 LP et art. 61 al. 2 let. a OELP) et il ne peut être alloué aucuns dépens dans cette procédure (art. 62 al. 2 OELP). * * * * *</w:t>
      </w:r>
    </w:p>
    <w:p>
      <w:r>
        <w:t>- 5/5 -</w:t>
      </w:r>
    </w:p>
    <w:p>
      <w:r>
        <w:t>A/2967/2017-CS PAR CES MOTIFS, La Chambre de surveillance : A la forme : Déclare recevable la plainte formée le 7 juillet 2017 par A______ SA pour retard non justifié de la part de l'Office des poursuites dans le traitement de la réquisition de poursuite déposée le 20 janvier 2017. Au fond : Constate que l'Office des poursuites a tardé de manière injustifiée à établir le commandement de payer, poursuite n° 17 xxxx45 F. Constate que la plainte est sans objet pour le surplus.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