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DCSO/64/2018 vom 30. Januar 2018</w:t>
      </w:r>
    </w:p>
    <w:p>
      <w:r>
        <w:t>GE Cour de justice, 2018-01-30, FR</w:t>
      </w:r>
    </w:p>
    <w:p>
      <w:r>
        <w:rPr>
          <w:b/>
        </w:rPr>
        <w:t xml:space="preserve">Quelle: </w:t>
      </w:r>
      <w:r>
        <w:t>https://mcp.opencaselaw.ch/entscheid/ge_gerichte_DCSO_64_2018</w:t>
      </w:r>
    </w:p>
    <w:p>
      <w:r>
        <w:t>FR: GE_GERICHTE DCSO/64/2018 du 30 janvier 2018</w:t>
      </w:r>
    </w:p>
    <w:p>
      <w:r>
        <w:t>IT: GE_GERICHTE DCSO/64/2018 del 30 gennaio 2018</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 La plainte doit être déposée dans les dix jours de celui où le plaignant a eu connaissance de la mesure (art. 17 al. 3 LP). La notification d’un commandement de payer ainsi que d’une commination de faillite sont des mesures sujettes à plainte et le poursuivi a qualité pour agir par cette voie. 1.2.1 Sauf autorisation expresse de la Chambre de surveillance et fixation d'un délai pour ce faire, la plainte ne peut être complétée après son dépôt (cf. art. 65 al.</w:t>
      </w:r>
    </w:p>
    <w:p>
      <w:r>
        <w:rPr>
          <w:b/>
        </w:rPr>
        <w:t>E. 3</w:t>
      </w:r>
    </w:p>
    <w:p>
      <w:r>
        <w:t>3.1. Cela étant, et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du tout parvenu à la connaissance du débiteur, nullité qui doit être constatée d’office et en tout temps par la Chambre de surveillance. 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(arrêt 5A_6/2008 du 5 février 2008 ; ATF 128 III 101 consid. 2, JdT 2002 II 23 ; ATF 120 III 114 consid. 3b, JdT 1997 II 50),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w:t>
      </w:r>
    </w:p>
    <w:p>
      <w:r>
        <w:rPr>
          <w:b/>
        </w:rPr>
        <w:t>E. 3.2</w:t>
      </w:r>
    </w:p>
    <w:p>
      <w:r>
        <w:t>En l’espèce, il ressort du dossier un fait non contesté - ou dont le contraire n’a du moins pas été établi - à savoir que la débitrice plaignante a effectivement pris connaissance, au plus tôt le 6 août 2016, de l’existence de la poursuite litigieuse n° 15 xxxx69 E, soit à la date de la notification en mains de son administrateur de la commination de faillite requise par le créancier poursuivant dans le cadre de cette même poursuite. Dans le cadre de la présente plainte déposée le 12 août 2016, la société débitrice poursuivie n’a toutefois pas expressément déclaré former une opposition au commandement de payer, poursuite n° 15 xxxx69 E. Toutefois, à suivre le Tribunal fédéral, il apparaît que cette plainte, valablement déposée à la forme par la débitrice poursuivie, qui y a en outre contesté le fond de la créance à son encontre dans le délai légal de 10 jours suivant sa prise de connaissance de l’existence de la poursuite n° 15 xxxx69 E, doit être interprétée en réalité comme une opposition formée dans le délai légal à l’encontre de ladite poursuite au sens de l’art. 74 al. 1 LP, étant précisé que l’administrateur de la société poursuivie, qui a déposé cette plainte en personne, n’est pas un juriste rompu au vocabulaire ad hoc.</w:t>
      </w:r>
    </w:p>
    <w:p>
      <w:r>
        <w:t>- 12/13 -</w:t>
      </w:r>
    </w:p>
    <w:p>
      <w:r>
        <w:t>A/2668/2016-CS Il découle dès lors de l’ensemble de ce qui précède, que cette opposition à la poursuite n° 15 xxxx69 E a été valablement formée, de sorte que la société plaignante n’a subi aucun dommage du fait du vice de notification du commandement de payer correspondant. Il n’y a ainsi pas lieu de déclarer cette notification nulle, ni même annulable, de sorte que la présente plainte sera rejetée. Il y a lieu de souligner, à ce stade, qu’aucun aucun acte de poursuite fondé sur la poursuite n° 15 xxxx69 E concernée ne pourra être établi à l’encontre de la société débitrice aussi longtemps que le juge civil n’aura pas prononcé la mainlevée définitive de cette opposition (art. 80 et ss LP).</w:t>
      </w:r>
    </w:p>
    <w:p>
      <w:r>
        <w:rPr>
          <w:b/>
        </w:rPr>
        <w:t>E. 4</w:t>
      </w:r>
    </w:p>
    <w:p>
      <w:r>
        <w:t>Il n'est pas perçu de dépens (art. 62 al. OELP). * * * * *</w:t>
      </w:r>
    </w:p>
    <w:p>
      <w:r>
        <w:t>- 13/13 -</w:t>
      </w:r>
    </w:p>
    <w:p>
      <w:r>
        <w:t>A/2668/2016-CS PAR CES MOTIFS, La Chambre de surveillance : A la forme : Déclare recevable à la forme la plainte de A______ SA en liquidation contre la notification du commandement de payer, poursuite n° 15 xxxx69 E, ainsi que de la commination de faillite correspondante. Au fond : La rejette.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