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DCSO/64/2017 vom 9. Februar 2017</w:t>
      </w:r>
    </w:p>
    <w:p>
      <w:r>
        <w:t>GE Cour de justice, 2017-02-09, FR</w:t>
      </w:r>
    </w:p>
    <w:p>
      <w:r>
        <w:rPr>
          <w:b/>
        </w:rPr>
        <w:t xml:space="preserve">Quelle: </w:t>
      </w:r>
      <w:r>
        <w:t>https://mcp.opencaselaw.ch/entscheid/ge_gerichte_DCSO_64_2017</w:t>
      </w:r>
    </w:p>
    <w:p>
      <w:r>
        <w:t>FR: GE_GERICHTE DCSO/64/2017 du 9 février 2017</w:t>
      </w:r>
    </w:p>
    <w:p>
      <w:r>
        <w:t>IT: GE_GERICHTE DCSO/64/2017 del 9 febbraio 2017</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rPr>
          <w:b/>
        </w:rPr>
        <w:t>E. 2.1</w:t>
      </w:r>
    </w:p>
    <w:p>
      <w:r>
        <w:t>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(art. 46 LP) ainsi qu'un nombre très limité de fors spéciaux (art. 48 à 52 LP).</w:t>
      </w:r>
    </w:p>
    <w:p>
      <w:r>
        <w:t>Contrairement à l'envoi d'un avis de saisie (art. 53 LP), le simple dépôt d'une réquisition de poursuite auprès d'un office des poursuites territorialement compétent ne fige pas la situation à cet égard : cette compétence initiale doit au contraire perdurer lors de l'accomplissement des actes de poursuite subséquents. C'est donc au moment de la notification du commandement de payer que l'existence d'un for de poursuite, ordinaire ou spécial, doit être vérifiée (DCSO/579/05 du 13 octobre 2005 consid. 3c; DCSO/219/07 du 3 mai 2007 consid. 2d; DCSO/39/14 du 6 février 2014 consid. 2.1).</w:t>
      </w:r>
    </w:p>
    <w:p>
      <w:r>
        <w:t>C'est en premier lieu au créancier poursuivant qu'il incombe de fournir à l'Office les indications relatives au domicile du débiteur (art. 67 al. 1 ch. 2 LP). L'Office doit pour sa part vérifier ces indications, dès lors que sa compétence en dépend</w:t>
      </w:r>
    </w:p>
    <w:p>
      <w:r>
        <w:t>- 4/6 -</w:t>
      </w:r>
    </w:p>
    <w:p>
      <w:r>
        <w:t>A/2277/2016-CS (ATF 120 III 110 consid. 1a). Si le débiteur change de domicile en cours de poursuite, l'office doit examiner si ce changement est intervenu avant ou après le moment déterminant selon l'art. 53 LP (même référence). Le débiteur qui conteste le domicile indiqué par le créancier dans la réquisition de poursuite ou qui allègue avoir changé de domicile en cours de poursuite doit le prouver (arrêt du Tribunal fédéral 7B.207/2003 du 25 septembre 2003 consid. 3.3; arrêt du Tribunal fédéral 5A_403/2010 du 8 septembre 2010 consid. 2.2).</w:t>
      </w:r>
    </w:p>
    <w:p>
      <w:r>
        <w:rPr>
          <w:b/>
        </w:rPr>
        <w:t>E. 2.2</w:t>
      </w:r>
    </w:p>
    <w:p>
      <w:r>
        <w:t>Selon l'art. 46 al. 1 LP, le for ordinaire de la poursuite est, pour les personnes physiques, au domicile du débiteur.</w:t>
      </w:r>
    </w:p>
    <w:p>
      <w:r>
        <w:t>Le domicile au sens de cette disposition est déterminé par l'art. 23 al. 1 CC et, le cas échéant, par l'art. 20 LDIP qui contient la même notion du domicile : une personne physique a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ou professionnelle, de sorte que l'intensité des liens avec ce centre l'emporte sur les liens existant avec d'autres endroits. Ce qui est déterminant n'est pas la volonté intime de l'intéressé, mais son intention manifestée objectivement et de manière reconnaissable pour les tiers. D'éventuels documents administratifs ne constituent à cet égard que des indices devant être confortés par d'autres faits (arrêt du Tribunal fédéral 7B.207/2003 du 25 septembre 2003 cons. 3.2; ATF 125 III 100 cons. 3).</w:t>
      </w:r>
    </w:p>
    <w:p>
      <w:r>
        <w:t>L'art. 24 al. 1 CC, selon lequel toute personne conserve son domicile aussi longtemps qu'elle ne s'en est pas créé un nouveau, n'est pas applicable en matière de poursuite pour dettes : le débiteur qui quitte son domicile suisse sans s'en créer un nouveau ne peut plus être poursuivi qu'à l'un des fors spéciaux prévus par les art. 48 à 52 LP (ATF 119 III 54 cons. 2a).</w:t>
      </w:r>
    </w:p>
    <w:p>
      <w:r>
        <w:rPr>
          <w:b/>
        </w:rPr>
        <w:t>E. 2.3</w:t>
      </w:r>
    </w:p>
    <w:p>
      <w:r>
        <w:t>Il ressort en l'espèce des éléments de fait recueillis dans le cadre de l'instruction de la cause que la poursuivie a manifesté de manière répétée et reconnaissable, en janvier 2016, son intention de quitter son domicile genevois pour s'en créer un nouveau, dans la région de Sierre. Cette déclaration a été faite à tout le moins à sa mère, à l'Office cantonal de la population et à la poursuivante. Elle paraît avoir été suivie d'effet puisque, à la même période, la poursuivie a effectivement quitté le logement de sa mère, auprès de laquelle elle résidait jusqu'alors, pour une adresse inconnue. Il convient dès lors d'admettre que, lors des diverses tentatives de notification du commandement de payer, le centre des intérêts de la poursuivie ne se trouvait plus, de manière objectivement reconnaissable, dans le canton de Genève. Le fait qu'au mois de juillet 2016 elle ne se soit pas – ou pas encore – enregistrée auprès du Contrôle des habitants de la</w:t>
      </w:r>
    </w:p>
    <w:p>
      <w:r>
        <w:t>- 5/6 -</w:t>
      </w:r>
    </w:p>
    <w:p>
      <w:r>
        <w:t>A/2277/2016-CS commune de Sierre ne modifie en rien ce constat dès lors que, comme relevé ci-dessus, en matière de poursuite l'abandon d'un domicile ne suppose pas la création d'un nouveau. Au demeurant, l'absence d'annonce aux autorités sierroises – qui peut avoir diverses explications – n'a qu'une valeur d'indice en ce sens qu'il ne saurait en être déduit que la poursuivie ne serait pas effectivement domiciliée dans cette commune depuis son départ de Genève.</w:t>
      </w:r>
    </w:p>
    <w:p>
      <w:r>
        <w:t>Il s'ensuit que, depuis le départ de la poursuivie au début de l'année 2016, il n'existait plus à Genève de for de poursuite au sens de l'art. 46 al. 1 LP. Dans la mesure où l'existence d'un for spécial au sens des art. 48 à 52 LP n'est pas alléguée, c'est à juste titre que l'Office a refusé, par sa décision de non-lieu du 20 juin 2016, de donner suite à la réquisition de poursuite formée par la plaignante. La plainte doit dès lors être rejetée.</w:t>
      </w:r>
    </w:p>
    <w:p>
      <w:r>
        <w:rPr>
          <w:b/>
        </w:rPr>
        <w:t>E. 3</w:t>
      </w:r>
    </w:p>
    <w:p>
      <w:r>
        <w:t>La procédure de plainte est gratuite (art. 20a al. 2 ch. 5 LP et art. 61 al. 2 let. a OELP) et il ne peut être alloué aucuns dépens dans cette procédure (art. 62 al. 2 OELP). * * * * *</w:t>
      </w:r>
    </w:p>
    <w:p>
      <w:r>
        <w:t>- 6/6 -</w:t>
      </w:r>
    </w:p>
    <w:p>
      <w:r>
        <w:t>A/2277/2016-CS PAR CES MOTIFS, La Chambre de surveillance : A la forme : Déclare recevable la plainte formée le 5 juillet 2016 par A______ contre la décision de non-lieu de notification du commandement de payer rendue le 20 juin 2016 par l'Office des poursuites dans la poursuite n° 16 xxxx50 H. Au fond : La rejette. Siégeant : Monsieur Patrick CHENAUX, président; Monsieur Michel BERTSCHY et Monsieur Claude MARCET, juges assesseurs; Madame Marie NIERMARECHAL, greffière.</w:t>
      </w:r>
    </w:p>
    <w:p>
      <w:r>
        <w:t>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