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DCSO/626/2018 vom 29. November 2018</w:t>
      </w:r>
    </w:p>
    <w:p>
      <w:r>
        <w:t>GE Cour de justice, 2018-11-29, FR</w:t>
      </w:r>
    </w:p>
    <w:p>
      <w:r>
        <w:rPr>
          <w:b/>
        </w:rPr>
        <w:t xml:space="preserve">Quelle: </w:t>
      </w:r>
      <w:r>
        <w:t>https://mcp.opencaselaw.ch/entscheid/ge_gerichte_DCSO_626_2018</w:t>
      </w:r>
    </w:p>
    <w:p>
      <w:r>
        <w:t>FR: GE_GERICHTE DCSO/626/2018 du 29 novembre 2018</w:t>
      </w:r>
    </w:p>
    <w:p>
      <w:r>
        <w:t>IT: GE_GERICHTE DCSO/626/2018 del 29 novembre 2018</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Sont nulles les mesures contraires à des dispositions édictées dans l'intérêt public ou dans l'intérêt de personnes qui ne sont pas partie à la procédure de poursuite (art. 22 al. 1 LP). Tel est le cas, selon la jurisprudence, d'une saisie (ou d'un séquestre) violant le minimum vital du débiteur (ATF 114 III 78; arrêt du Tribunal fédéral 5A_680/2015 du 6 novembre 2015 consid. 3; DIETH/WOHL, in KUKO SchKG, 2ème édition, 2014, N 2b ad art. 22 LP).</w:t>
      </w:r>
    </w:p>
    <w:p>
      <w:r>
        <w:rPr>
          <w:b/>
        </w:rPr>
        <w:t>E. 1.3</w:t>
      </w:r>
    </w:p>
    <w:p>
      <w:r>
        <w:t>Le séquestre est ordonné par le juge (art. 272 al. 1 LP) et exécuté, sur mandat de ce dernier (art. 274 al. 1 LP), par l'Office compétent. Celui-ci doit respecter,</w:t>
      </w:r>
    </w:p>
    <w:p>
      <w:r>
        <w:t>- 4/7 -</w:t>
      </w:r>
    </w:p>
    <w:p>
      <w:r>
        <w:t>A/2103/2018-CS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w:t>
      </w:r>
    </w:p>
    <w:p>
      <w:r>
        <w:rPr>
          <w:b/>
        </w:rPr>
        <w:t>E. 1.4</w:t>
      </w:r>
    </w:p>
    <w:p>
      <w:r>
        <w:t>En l'occurrence, la plainte, selon ses conclusions, tend principalement à l'annulation de l'ordonnance de séquestre rendue le 2 mars 2018 par le Tribunal de première instance et, subsidiairement, à la condamnation de la créancière séquestrante à fournir des sûretés. Or il s'agit là de décisions relevant des juridictions civiles et non des autorités de poursuite, avec pour conséquence, comme le souligne à juste titre l'intimée, qu'elles ne peuvent être contestée par la voie de la plainte au sens de l'art. 17 LP. La plainte doit donc être déclarée irrecevable pour ce motif, sans qu'il soit nécessaire de vérifier si elle a été déposée en temps utile, ce qui paraît douteux. Il ressort toutefois de l'acte adressé le 18 juin 2018 que le plaignant considère que le séquestre exécuté sur son salaire viole son minimum vital. Une telle violation étant susceptible d'entraîner la nullité de la mesure au sens de l'art. 22 al. 1 LP, laquelle devrait être constatée nonobstant l'absence d'une plainte recevable, il y a lieu d'entrer en matière sur ce point.</w:t>
      </w:r>
    </w:p>
    <w:p>
      <w:r>
        <w:rPr>
          <w:b/>
        </w:rPr>
        <w:t>E. 2.1</w:t>
      </w:r>
    </w:p>
    <w:p>
      <w:r>
        <w:t>L'art. 93 al. 1 LP prévoit que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(ci-après :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w:t>
      </w:r>
    </w:p>
    <w:p>
      <w:r>
        <w:t>- 5/7 -</w:t>
      </w:r>
    </w:p>
    <w:p>
      <w:r>
        <w:t>A/2103/2018-CS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ajoutées à cette base mensuelle d'entretien, cela pour autant qu'elles soient effectivement payées (OCHSNER, in CR-LP, n. 82 ad art. 93 LP). Lorsque le salaire mensuel revenant au débiteur saisi (ou séquestré) connaît des variations, par exemple du fait qu'il est rémunéré à l'heure ou à la commission, l'Office pourra fixer la quotité saisissable non pas à un montant fixe mais à la part éventuelle du revenu net qui n'est pas affectée à la couverture du minimum vital (OCHSNER, in CR LP, n. 33 ad art. 93 LP). Dès lors toutefois que cette manière de procéder peut conduire à ce que, certains mois, le débiteur ne dispose pas de ressources suffisantes alors que, les autres mois, il sera réduit à son minimum vital, l'Office ne pourra procéder à des distributions aux créanciers avant la fin de la saisie et devra le cas échéant, sur demande dûment documentée, accepter de procéder à des compensations en rétrocédant au débiteur une partie des montants éventuellement saisis pour lui permettre de subvenir à ses besoins (arrêt du Tribunal fédéral 5A_567/2013 du 28 août 2013 consid. 5.2).</w:t>
      </w:r>
    </w:p>
    <w:p>
      <w:r>
        <w:rPr>
          <w:b/>
        </w:rPr>
        <w:t>E. 2.2</w:t>
      </w:r>
    </w:p>
    <w:p>
      <w:r>
        <w:t>Dans le cas d'espèce, l'Office, constatant que le salaire du plaignant variait considérablement d'un mois à l'autre, a choisi comme il en avait la possibilité de faire porter la saisie sur la part dudit salaire excédant – éventuellement – le minimum vital. Pour arrêter ce dernier, il a tenu compte des contributions d'entretien à la charge du plaignant, lesquelles sont supposées être directement prélevées sur son salaire par son employeur. Le plaignant conteste le calcul effectué par l'Office, reprochant à ce dernier d'avoir omis certaines charges (impôts, frais d'avocat, primes d'assurance maladie) et d'en avoir sous-évalué d'autres (minimum vital, frais professionnels). Au regard de la jurisprudence (ATF 140 III 337 consid. 4.4), c'est à juste titre que l'Office n'a pas tenu compte des impôts acquittés par le poursuivi. Au demeurant, comme le souligne l'Office, le plaignant est imposé à la source du fait de son domicile étranger, de telle sorte que le revenu net pris en compte par l'Office intègre le paiement des impôts. L'Office n'avait pas davantage à prendre en considération les primes d'assurance maladie du poursuivi, dont rien ne permet d'admettre qu'elles soient effectivement payées, ni ses honoraires d'avocats, lesquels, à supposer même qu'ils aient été établis, ce qui n'est pas le cas, ne constituent pas des dépenses nécessaires à l'entretien du plaignant. La réduction de 15% du montant de l'entretien de base appliquée par l'Office en raison du coût de la vie inférieur en France voisine est pour sa part conforme à la jurisprudence selon laquelle le minimum vital doit être déterminé au regard des conditions en vigueur au domicile du débiteur (ATF 91 III 81; WINKLER, in</w:t>
      </w:r>
    </w:p>
    <w:p>
      <w:r>
        <w:t>- 6/7 -</w:t>
      </w:r>
    </w:p>
    <w:p>
      <w:r>
        <w:t>A/2103/2018-CS Kommentar SchKG, 4ème édition, 2017, Kren Kostkiewicz/Vock [éd.], N 32 ad art. 93 LP; OCHSNER, in CR LP, N 109 et 110 ad art. 93 LP). L'Office a enfin retenu des frais de transport à hauteur de 97 fr., correspondant au coût d'un abonnement aux transports publics transfrontaliers. Le plaignant n'explique pas en quoi l'utilisation de son véhicule privé serait nécessaire à l'exercice de sa profession, de telle sorte que les frais y afférents, ainsi que ceux de parking, ont été à juste titre écartés. Les frais de repas "professionnels" ne sont pour leur part justifiés par aucune pièce et ne pouvaient donc être pris en compte. Les griefs dirigés par le débiteur contre la manière dont son minimum vital a été calculé sont donc infondés, avec pour conséquence que le séquestre n'est pas atteint de nullité, ce qui sera constaté.</w:t>
      </w:r>
    </w:p>
    <w:p>
      <w:r>
        <w:rPr>
          <w:b/>
        </w:rPr>
        <w:t>E. 2.3</w:t>
      </w:r>
    </w:p>
    <w:p>
      <w:r>
        <w:t>Le plaignant soulève encore que son contrat de travail a été résilié pour le 31 août 2018. Cette circonstance est toutefois sans influence sur le calcul de la quotité saisissable au jour de l'exécution du séquestre, le 2 mars 2018. C'est dans le cadre d'un nouveau calcul de cette quotité saisissable en application de l'art. 93 al. 3 que cette circonstance nouvelle devra le cas échéant être prise en considération par l'Office.</w:t>
      </w:r>
    </w:p>
    <w:p>
      <w:r>
        <w:rPr>
          <w:b/>
        </w:rPr>
        <w:t>E. 3</w:t>
      </w:r>
    </w:p>
    <w:p>
      <w:r>
        <w:t>La procédure de plainte est gratuite (art. 20a al. 2 ch. 5 LP et art. 61 al. 2 let. a OELP) et il ne peut être alloué aucuns dépens dans cette procédure (art. 62 al. 2 OELP). * * * * *</w:t>
      </w:r>
    </w:p>
    <w:p>
      <w:r>
        <w:t>- 7/7 -</w:t>
      </w:r>
    </w:p>
    <w:p>
      <w:r>
        <w:t>A/2103/2018-CS PAR CES MOTIFS, La Chambre de surveillance : A la forme : Déclare irrecevable la plainte formée le 18 juin 2018 par A______ contre l'ordonnance de séquestre rendue le 2 mars 2018 par le Tribunal de première instance. Au fond : Constate que le séquestre exécuté le 2 mars 2018 par l'Office des poursuites sur le salaire de A______ n'est pas atteint de nullité. Siégeant : Monsieur Patrick CHENAUX, président; Messieurs Michel BERTSCHY et Mathieu HOWALD,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