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DCSO/622/2024 vom 13. Mai 2024</w:t>
      </w:r>
    </w:p>
    <w:p>
      <w:r>
        <w:t>GE Cour de justice, 2024-05-13, FR</w:t>
      </w:r>
    </w:p>
    <w:p>
      <w:r>
        <w:rPr>
          <w:b/>
        </w:rPr>
        <w:t xml:space="preserve">Quelle: </w:t>
      </w:r>
      <w:r>
        <w:t>https://mcp.opencaselaw.ch/entscheid/ge_gerichte_DCSO_622_2024</w:t>
      </w:r>
    </w:p>
    <w:p>
      <w:r>
        <w:t>FR: GE_GERICHTE DCSO/622/2024 du 13 mai 2024</w:t>
      </w:r>
    </w:p>
    <w:p>
      <w:r>
        <w:t>IT: GE_GERICHTE DCSO/622/2024 del 13 maggio 2024</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C'est sur l'Office que pèse le fardeau de la preuve de la notification régulière au sens de l'art. 64 LP (ATF 120 III 117 consid. 2).</w:t>
      </w:r>
    </w:p>
    <w:p>
      <w:r>
        <w:rPr>
          <w:b/>
        </w:rPr>
        <w:t>E. 1.2</w:t>
      </w:r>
    </w:p>
    <w:p>
      <w:r>
        <w:t>En l'espèce, le procès-verbal de séquestre et le commandement de payer en validation de séquestre sont des mesures sujettes à plainte. L'Office a fait notifier ces deux décisions au plaignant, domicilié en France, par voie d'entraide judiciaire. Le plaignant affirme en avoir eu connaissance le 8 octobre 2024. Quand bien même les documents produits par le plaignant en lien avec la notification semblent indiquer que celle-ci est intervenue le 20 septembre 2024, il existe un doute à cet égard. Or, il appartenait à l'Office d'établir la preuve de la notification régulière des décisions attaquées, ce qu'il n'a pas fait. Il sera ainsi considéré que la plainte a été formée en temps utile.</w:t>
      </w:r>
    </w:p>
    <w:p>
      <w:r>
        <w:rPr>
          <w:b/>
        </w:rPr>
        <w:t>E. 2.1</w:t>
      </w:r>
    </w:p>
    <w:p>
      <w:r>
        <w:t>Le séquestre est ordonné par le juge du for de la poursuite ou par le juge du lieu où se trouvent les biens (art. 272 al. 1 et 274 al. 1 LP).</w:t>
      </w:r>
    </w:p>
    <w:p>
      <w:r>
        <w:t>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 Les griefs concernant les conditions de fond du séquestre, y compris la désignation des "biens du débiteur qui se trouvent en Suisse" (art. 272 al. 1 ch. 3 LP), doivent être soulevés dans la procédure d'opposition et ceux concernant l'exécution du séquestre dans la procédure de plainte (ATF 129 III 203 consid. 2.2 et 2.3 et les références; arrêt du Tribunal fédéral 5A_858/2018 du 25 février 2019 consid. 2.1).</w:t>
      </w:r>
    </w:p>
    <w:p>
      <w:r>
        <w:t>- 5/8 -</w:t>
      </w:r>
    </w:p>
    <w:p>
      <w:r>
        <w:t>A/3381/2024-CS</w:t>
      </w:r>
    </w:p>
    <w:p>
      <w:r>
        <w:t>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ainsi que sur le contrôle de la régularité formelle de l'ordonnance de séquestre. Ce pouvoir d'examen entre en effet par définition dans les attributions d'un organe d'exécution, qui ne peut donner suite à un ordre lacunaire ou imprécis, ni exécuter un séquestre entaché de nullité. Tel pourrait être le cas si l'ordonnance ne désigne pas les biens à séquestrer avec suffisamment de précision ou qu'elle ne contient pas toutes les informations requises par l'art. 274 LP. L'office ne peut pas non plus exécuter une ordonnance rendue par un juge manifestement incompétent.</w:t>
      </w:r>
    </w:p>
    <w:p>
      <w:r>
        <w:rPr>
          <w:b/>
        </w:rPr>
        <w:t>E. 2.2</w:t>
      </w:r>
    </w:p>
    <w:p>
      <w:r>
        <w:t>En l'espèce, le plaignant fait d'abord valoir que les tableaux séquestrés ne seraient pas des biens du débiteur qui se trouvent en Suisse (art. 271 al. 1 LP), de sorte que le séquestre serait nul, car prononcé par un juge incompétent au sens de l'art. 272 al. 1 LP. Or, d'une part, la question de l'existence de biens appartenant au débiteur qui se trouvent en Suisse est une condition qui est examinée par le juge du séquestre et qui peut donc être contestée par la voie de l'opposition à séquestre. D'autre part, force est de constater que l'Office a pu inventorier et enlever les six tableaux précisément désignés par l'ordonnance de séquestre, qui se trouvaient à l'adresse indiquée sur cette ordonnance, soit à l'ancien domicile conjugal des époux A______/B______, rue 1______ no. ______ [code postal] Genève. Dans la mesure où le séquestre a été ordonné par le juge du lieu où se trouvaient ces biens, à savoir le Tribunal de première instance de Genève, il a été prononcé par un juge compétent à raison de lieu. L'Office n'avait pas à se prononcer sur le déplacement supposément illicite des tableaux par l'épouse du plaignant. L'ordonnance de séquestre n'est ainsi pas nulle pour ce motif et le premier grief doit donc être rejeté.</w:t>
      </w:r>
    </w:p>
    <w:p>
      <w:r>
        <w:t>Dans un second moyen, le plaignant soutient qu'il n'y a pas de cas de séquestre, dès lors que les biens ont été déplacés illicitement en Suisse par l'épouse du plaignant. Or, comme rappelé ci-dessus, l'examen de l'existence d'un cas de séquestre (art. 272 al. 1 ch. 2 LP) relève de la compétence du juge et non de l'Office. Par ailleurs, l'ordonnance de séquestre fait expressément référence au cas de séquestre de l'art. 271 al. 1 ch. 6 LP, soit au séquestre fondé sur un titre de mainlevée définitive, qui est un l'occurrence un arrêt de la Cour de Justice du 15 mars 2023 précisément désigné par la décision du juge que l'Office était tenu d'exécuter. Le second grief du plaignant est aussi infondé.</w:t>
      </w:r>
    </w:p>
    <w:p>
      <w:r>
        <w:rPr>
          <w:b/>
        </w:rPr>
        <w:t>E. 3</w:t>
      </w:r>
    </w:p>
    <w:p>
      <w:r>
        <w:t>Le plaignant soutient que les tableaux saisis sont des objets insaisissables, en particulier quatre d'entre eux, à savoir ceux de F______, de G______, de</w:t>
      </w:r>
    </w:p>
    <w:p>
      <w:r>
        <w:t>- 6/8 -</w:t>
      </w:r>
    </w:p>
    <w:p>
      <w:r>
        <w:t>A/3381/2024-CS D______ et de l'école H______. Il s'agirait d'œuvres pouvant être qualifiées de biens culturels au sens de la LTBC et des Conventions de l'UNESCO.</w:t>
      </w:r>
    </w:p>
    <w:p>
      <w:r>
        <w:rPr>
          <w:b/>
        </w:rPr>
        <w:t>E. 3.1</w:t>
      </w:r>
    </w:p>
    <w:p>
      <w:r>
        <w:t>En règle générale, un bien culturel peut être saisi sur la base de la LP: le créancier peut entre autres requérir le séquestre des biens de son débiteur, pour autant que les conditions de l'art. 271 LP soient réalisées (GABUS, Confiscation et saisie d'un bien culturel, SJ 2008 II p. 227 ss, p. 229).</w:t>
      </w:r>
    </w:p>
    <w:p>
      <w:r>
        <w:t>La Convention du 14 novembre 1970 concernant les mesures à prendre pour interdire et empêcher l’importation, l’exportation et le transfert de propriété illicites de biens culturels, à laquelle la Suisse et la France sont parties (RS 0.444.1; ci-après: Convention UNESCO de 1970), n’est pas directement applicable: pour être mise en œuvre, elle oblige en effet les Etats contractants à légiférer et à transposer les solutions dans leur législation nationale. En Suisse, ceci a été réalisé par l’adoption de la loi fédérale du 20 juin 2003 sur le transfert international des biens culturels (LTBC; RS 441.1; cf. ATF 145 IV 294 in JDT 2019 IV 343, consid. 3.1).</w:t>
      </w:r>
    </w:p>
    <w:p>
      <w:r>
        <w:t>Les biens insaisissables en vertu du droit matériel sont ceux qui sont insaisissables en vertu de dispositions légales particulières, l'énumération de l'art. 92 al. 4 LP n'étant pas exhaustive. On peut y ajouter par exemple l’exemption de saisie conservatoire de certains aéronefs (art. 81 LA) et l’insaisissabilité des biens culturels prêtés temporairement à un musée ou à une autre institution culturelle en Suisse et pour lesquels l'institution bénéficiaire du prêt a obtenu du service spécialisé la délivrance à l'institution prêteuse d'une garantie de restitution valable pour la durée de l'exposition stipulée dans le contrat de prêt, tant qu'ils se trouvent en Suisse (art. 13 LTBC; cf. DECLERCQ, Introduction à la procédure de poursuite par voie de saisie, 2023, n° 813; GILLIERON, Poursuite, p. 244).</w:t>
      </w:r>
    </w:p>
    <w:p>
      <w:r>
        <w:rPr>
          <w:b/>
        </w:rPr>
        <w:t>E. 3.2</w:t>
      </w:r>
    </w:p>
    <w:p>
      <w:r>
        <w:t>En l'espèce, le plaignant se prévaut de manière toute générale de la Convention de l'UNESCO de 1970, laquelle n'est pas directement applicable. Il est par ailleurs avéré que l'on ne se trouve pas en présence d'un bien insaisissable au sens de l'art. 13 LTBC, soit d'un bien culturel prêté temporairement à un musée ou à une autre institution culturelle en Suisse en vue d’une exposition et qui fait l'objet d'une garantie de restitution (cf. art. 10 LTBC). Rien n'indique d'ailleurs que les tableaux litigieux soient désignés par la France comme faisant partie des biens culturels à inventorier au sens de l'art. 1er de la Convention de l'UNESCO de 1970. Quant à la Convention de l'UNESCO de 2001 citée par le plaignant, il semblerait s'agir de la Convention sur la protection du patrimoine culturel subaquatique (RS 0.444.2), qui protège des biens immergés, partiellement ou totalement, périodiquement ou en permanence, depuis 100 ans au moins, ce qui n'est pas le cas des objets séquestrés.</w:t>
      </w:r>
    </w:p>
    <w:p>
      <w:r>
        <w:t>- 7/8 -</w:t>
      </w:r>
    </w:p>
    <w:p>
      <w:r>
        <w:t>A/3381/2024-CS</w:t>
      </w:r>
    </w:p>
    <w:p>
      <w:r>
        <w:t>Mal fondée, la plainte doit donc être rejetée, les tableaux séquestrés étant saisissables.</w:t>
      </w:r>
    </w:p>
    <w:p>
      <w:r>
        <w:rPr>
          <w:b/>
        </w:rPr>
        <w:t>E. 4</w:t>
      </w:r>
    </w:p>
    <w:p>
      <w:r>
        <w:t>La plainte vise aussi le commandement de payer dans la poursuite en validation de séquestre. Le plaignant ne formule toutefois aucun grief spécifique à son encontre, si ce n'est que la nullité de la poursuite serait une conséquence de la nullité du séquestre. Or, le séquestre n'est pas nul et son exécution a été effectuée de manière régulière par l'Office, de sorte que la poursuite en validation du séquestre, introduite au for du séquestre (art. 52 LP), n'est pas non plus nulle pour ce motif.</w:t>
      </w:r>
    </w:p>
    <w:p>
      <w:r>
        <w:rPr>
          <w:b/>
        </w:rPr>
        <w:t>E. 5</w:t>
      </w:r>
    </w:p>
    <w:p>
      <w:r>
        <w:t>La présente décision est rendue sans frais ni dépens (art. 20a al. 2 ch. 5 LP, 61 al. 2 let. a et 62 al. 2 OELP). * * * * *</w:t>
      </w:r>
    </w:p>
    <w:p>
      <w:r>
        <w:t>- 8/8 -</w:t>
      </w:r>
    </w:p>
    <w:p>
      <w:r>
        <w:t>A/3381/2024-CS PAR CES MOTIFS, La Chambre de surveillance :</w:t>
      </w:r>
    </w:p>
    <w:p>
      <w:r>
        <w:t>A la forme : Déclare recevable la plainte formée le 10 octobre 2024 par A______ contre le procès- verbal de séquestre N° 2______ établi le 13 juin 2024 par l'Office cantonal des poursuites et le commandement de payer, poursuite N° 4______. Au fond : La rejette. Siégeant : Madame Verena PEDRAZZINI RIZZI, présidente; Madame Ekaterine BLINOVA et Monsieur Anthony HUGUENIN,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