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DCSO/620/2024 vom 12. Dezember 2024</w:t>
      </w:r>
    </w:p>
    <w:p>
      <w:r>
        <w:t>GE Cour de justice, 2024-12-12, FR</w:t>
      </w:r>
    </w:p>
    <w:p>
      <w:r>
        <w:rPr>
          <w:b/>
        </w:rPr>
        <w:t xml:space="preserve">Quelle: </w:t>
      </w:r>
      <w:r>
        <w:t>https://mcp.opencaselaw.ch/entscheid/ge_gerichte_DCSO_620_2024</w:t>
      </w:r>
    </w:p>
    <w:p>
      <w:r>
        <w:t>FR: GE_GERICHTE DCSO/620/2024 du 12 décembre 2024</w:t>
      </w:r>
    </w:p>
    <w:p>
      <w:r>
        <w:t>IT: GE_GERICHTE DCSO/620/2024 del 12 dicembre 2024</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1.1.2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1.1.3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96 III 89 consid. 2; 88 III 7 consid. 3; 82 III 63 consid. 4; 69 II 162 consid. 2b; arrêt 5A_362/2013 du 14 octobre 2013 consid. 3.2). Un commandement de payer délivré par un office incompétent à raison du lieu ne peut ainsi qu'être annulé à la suite d'une plainte formée en temps utile (arrêts 5A_108/2018 du 11 juin 2018 consid. 3; 5A_333/2017 du 4 août 2017 consid. 3.2, publié in SJ 2017 I 469; 5A_30/2013 du 7 mai 2013 consid. 3; 7B.132/2002 du 4 octobre 2002 consid. 1 et les arrêts cités).</w:t>
      </w:r>
    </w:p>
    <w:p>
      <w:r>
        <w:rPr>
          <w:b/>
        </w:rPr>
        <w:t>E. 1.2</w:t>
      </w:r>
    </w:p>
    <w:p>
      <w:r>
        <w:t>En l'espèce, la plaignante, débitrice poursuivie, a qualité pour former plainte et la notification d'un commandement de payer est un acte de poursuite sujet à plainte.</w:t>
      </w:r>
    </w:p>
    <w:p>
      <w:r>
        <w:t>- 5/7 -</w:t>
      </w:r>
    </w:p>
    <w:p>
      <w:r>
        <w:t>A/2700/2024-CS</w:t>
      </w:r>
    </w:p>
    <w:p>
      <w:r>
        <w:t>Dans la mesure où les pièces au dossier ne permettent pas de retenir avec certitude que la plaignante a eu connaissance de la notification du commandement de payer dans la poursuite engagée à son encontre avant d'avoir été informée, en date du 13 août 2024, de la saisie de salaire opérée en mains de son employeur, il y a lieu de considérer que sa plainte, déposée le 22 août 2024, a été formée dans le délai prescrit.</w:t>
      </w:r>
    </w:p>
    <w:p>
      <w:r>
        <w:t>Il se justifie en conséquence d'entrer en matière.</w:t>
      </w:r>
    </w:p>
    <w:p>
      <w:r>
        <w:rPr>
          <w:b/>
        </w:rPr>
        <w:t>E. 2</w:t>
      </w:r>
    </w:p>
    <w:p>
      <w:r>
        <w:t>La plaignante se prévaut de la nullité de la poursuite engagée à son encontre, ainsi que de tous les actes exécutés par l'Office dans le cadre de cette poursuite, au motif qu'il n'existe aucun for à Genève.</w:t>
      </w:r>
    </w:p>
    <w:p>
      <w:r>
        <w:t>2.1.1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qui, pour les personnes physiques, se trouve au domicile du débiteur, ainsi qu'un nombre très limité de fors spéciaux (art. 48 à 52 LP).</w:t>
      </w:r>
    </w:p>
    <w:p>
      <w:r>
        <w:t>2.1.2 Selon l'art. 46 LP, le for de la poursuite est au domicile du débiteur.</w:t>
      </w:r>
    </w:p>
    <w:p>
      <w:r>
        <w:t>Ce domicile est déterminé selon les critères prévus par l'art. 23 al. 1 CC: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5A_284/2020 du 23 décembre 2020 consid. 2.4.2; 5A_680/2020 du 8 décembre 2020 consid. 5.1.1 et l'autre arrêt cité).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5A_419/2020 du 16 avril 2021 consid. 2.2; 5A_680/2020 précité loc. cit.).</w:t>
      </w:r>
    </w:p>
    <w:p>
      <w:r>
        <w:t>2.1.3 Le débiteur domicilié à l'étranger qui possède un établissement en Suisse peut y être poursuivi pour les dettes de celui-ci (art. 50 al. 1 LP).</w:t>
      </w:r>
    </w:p>
    <w:p>
      <w:r>
        <w:t>- 6/7 -</w:t>
      </w:r>
    </w:p>
    <w:p>
      <w:r>
        <w:t>A/2700/2024-CS</w:t>
      </w:r>
    </w:p>
    <w:p>
      <w:r>
        <w:t>Le for spécial prévu par cette disposition ne dépend pas d'une inscription au registre du commerce mais est subordonné seulement à l'existence d'un établissement en Suisse du débiteur domicilié à l'étranger (ATF 114 III 6 consid. ; 98 Ib 100 consid. 3; Schmid, in BAK SchKG I, 2ème éd. 2010, n. 9 ad art. 50 LP; GILLIERON, Commentaire de la loi fédérale sur la poursuite pour dettes et la faillite, 1999, n. 29 ss ad art. 50 LP).</w:t>
      </w:r>
    </w:p>
    <w:p>
      <w:r>
        <w:t>Une poursuite au for spécial de l'art. 50 al. 1 LP demeure possible après cessation de l'activité de l'établissement, aussi longtemps que celui-ci n'a pas été entièrement liquidé (ATF 114 III 6 consid. 1; SCHMID, BSK SchKG, N 18 ad Art. 50 LP).</w:t>
      </w:r>
    </w:p>
    <w:p>
      <w:r>
        <w:rPr>
          <w:b/>
        </w:rPr>
        <w:t>E. 2.2</w:t>
      </w:r>
    </w:p>
    <w:p>
      <w:r>
        <w:t>En l'espèce, les pièces produites par la plaignante font ressortir qu'elle a fait ménage commun avec son époux et vécu à Genève d'octobre 2010 à fin 2020 et qu'elle s'est ensuite installée en France, d'abord à H______ puis à I______, où elle séjourne encore à ce jour. Les différentes attestations émises par les autorités administratives suisses et françaises, les contrats d'assurances et factures produites par la plaignante, l'attestation émise par son bailleur et son titre de séjour lui permettant d'exercer une activité lucrative à Genève en qualité de frontalière, permettent de retenir que la plaignante a déplacé son centre de vie en France à compter du mois de janvier 2021. Ces éléments conduisent en conséquence à retenir que la plaignante n'était pas domiciliée dans le canton de Genève lorsque le commandement de payer a été notifié par voie postale auprès de son époux à F______ le 19 août 2023, comme ce dernier l'avait indiqué à l'Office lorsqu'il a lui a retourné l'acte par courrier du</w:t>
      </w:r>
    </w:p>
    <w:p>
      <w:r>
        <w:rPr>
          <w:b/>
        </w:rPr>
        <w:t>E. 5</w:t>
      </w:r>
    </w:p>
    <w:p>
      <w:r>
        <w:t>septembre 2023. La compétence de l'Office pour conduire une poursuite à son encontre, et en particulier pour établir et notifier un commandement de payer, ne pouvait donc résulter de l'art. 46 al. 1 LP. Aucun for genevois ne découle par ailleurs de l'art. 50 LP, ce que l'intimée ne soutient au demeurant pas, puisque la faillite de la société C______ SA a été clôturée le 1er mars 2021, soit plus de deux ans avant la notification du commandement de payer litigieux. Le commandement de payer contesté, ainsi que tous les actes de poursuite subséquents, seront en conséquence annulés, faute de for de poursuite à Genève. 3. La procédure de plainte est gratuite (art. 20a al. 2 ch. 5 LP et art. 61 al. 2 let. a OELP) et il ne peut être alloué aucuns dépens dans cette procédure (art. 62 al. 2 OELP). * * * * *</w:t>
      </w:r>
    </w:p>
    <w:p>
      <w:r>
        <w:t>- 7/7 -</w:t>
      </w:r>
    </w:p>
    <w:p>
      <w:r>
        <w:t>A/2700/2024-CS PAR CES MOTIFS, La Chambre de surveillance : A la forme : Déclare recevable la plainte formée le 22 août 2024 par A______ contre le commandement de payer, poursuite n° 3______ et toutes les mesures entreprises dans le cadre de cette poursuite par l'Office cantonal des poursuites. Au fond : L'admet. Annule le commandement de payer, poursuite n° 3______, ainsi que tous les actes de poursuite subséquents pris par l'Office cantonal des poursuites dans cette poursuite. Siégeant : Madame Ursula ZEHETBAUER GHAVAMI, présidente; Madame Ekaterine BLINOVA et Monsieur Anthony HUGUENIN, juges assesseurs; Madame Véronique AMAUDRY-PISCETTA, greffière.</w:t>
      </w:r>
    </w:p>
    <w:p>
      <w:r>
        <w:t>La présidente :</w:t>
      </w:r>
    </w:p>
    <w:p>
      <w:r>
        <w:t>La greffière : 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