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DCSO/609/2024 vom 2. November 2009</w:t>
      </w:r>
    </w:p>
    <w:p>
      <w:r>
        <w:t>GE Cour de justice, 2009-11-02, FR</w:t>
      </w:r>
    </w:p>
    <w:p>
      <w:r>
        <w:rPr>
          <w:b/>
        </w:rPr>
        <w:t xml:space="preserve">Quelle: </w:t>
      </w:r>
      <w:r>
        <w:t>https://mcp.opencaselaw.ch/entscheid/ge_gerichte_DCSO_609_2024</w:t>
      </w:r>
    </w:p>
    <w:p>
      <w:r>
        <w:t>FR: GE_GERICHTE DCSO/609/2024 du 2 novembre 2009</w:t>
      </w:r>
    </w:p>
    <w:p>
      <w:r>
        <w:t>IT: GE_GERICHTE DCSO/609/2024 del 2 novembre 2009</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1.1.2 En l'espèce, la plainte, déposée dans la forme et le délai prévus par la loi, est recevable à ces égards. Elle a été formée par une personne dont les intérêts ne sont pas directement touchés, de sorte que la question de sa recevabilité sous l'angle de la qualité pour agir de la plaignante est discutable. La plaignante invoque toutefois la nullité de la poursuite et du commandement de payer, laquelle peut être constatée en tout temps et en l'absence de plainte par l'autorité de surveillance; dans la mesure où il sera fait droit ci-après au constat de nullité, la question de l'intérêt à agir de la plaignante peut rester ouverte.</w:t>
      </w:r>
    </w:p>
    <w:p>
      <w:r>
        <w:rPr>
          <w:b/>
        </w:rPr>
        <w:t>E. 1.2</w:t>
      </w:r>
    </w:p>
    <w:p>
      <w:r>
        <w:t>La plaignante conclut à l'irrecevabilité des observations de l'Office et du créancier poursuivant, déposées un jour après l'échéance du délai fixé par l'ordonnance du 28 août 2024.</w:t>
      </w:r>
    </w:p>
    <w:p>
      <w:r>
        <w:t>En l'occurrence, les parties intimées ont été confrontées à des indications contradictoires de la Chambre de céans qui a fixé un délai pour le dépôt de leurs observations au 19 septembre 2024 dans l'ordonnance susvisée et un délai au 20 septembre 2024 dans le courrier d'accompagnement. Elles pouvaient de bonne foi se fier à ce second délai, émanant d'un organe compétent pour le fixer, de sorte que leurs écritures ne sauraient être écartées pour ce motif (principe de la bonne foi et de la confiance fondée sur le comportement des autorités; art. 9 Cst; art. 52 CPC; parmi d'autres : arrêt du Tribunal fédéral 4A_226/2014 du 6 août 2014 consid. 4.2). En tout état, en l'absence d'observations des parties intimées, la Chambre aurait d'office fixé un nouveau délai ou convoqué les parties (art. 20 LP), la nature délicate des problèmes soulevés par la présente cause imposant que l'ensemble des protagonistes se déterminent.</w:t>
      </w:r>
    </w:p>
    <w:p>
      <w:r>
        <w:t>Les écritures des intimées du 20 septembre 2024 sont partant recevables.</w:t>
      </w:r>
    </w:p>
    <w:p>
      <w:r>
        <w:t>- 6/10 -</w:t>
      </w:r>
    </w:p>
    <w:p>
      <w:r>
        <w:t>A/2760/2024-CS</w:t>
      </w:r>
    </w:p>
    <w:p>
      <w:r>
        <w:rPr>
          <w:b/>
        </w:rPr>
        <w:t>E. 2</w:t>
      </w:r>
    </w:p>
    <w:p>
      <w:r>
        <w:t>La plaignante conclut au constat de la nullité du commandement de payer, poursuite n° 1______ – en réalité, elle se prévaut, dans la motivation de sa plainte, de la nullité de la notification du commandement de payer.</w:t>
      </w:r>
    </w:p>
    <w:p>
      <w:r>
        <w:t>2.1.1 En application de l'art. 68d al. 1 LP, si un curateur ou un mandataire pour cause d’inaptitude a la compétence de gérer le patrimoine d’un débiteur majeur et que la nomination en a été communiquée à l’office des poursuites, les actes de poursuite sont notifiés au curateur ou au mandataire pour cause d’inaptitude.</w:t>
      </w:r>
    </w:p>
    <w:p>
      <w:r>
        <w:t>La notification d'un acte de poursuite au débiteur et non pas au curateur, alors qu'une mesure de curatelle de portée générale a été communiquée à l'Office, est nulle au sens de l'art. 22 al. 1 LP, ce que l'autorité de surveillance doit constater d'office, même en l'absence de plainte (KOFMEL EHRENZELLER, Basler Kommentar, SchKG, 2021, n° 27 et 29 ad art. 68d LP).</w:t>
      </w:r>
    </w:p>
    <w:p>
      <w:r>
        <w:t>2.1.2 A teneur de l'art. 403 CC, si, dans une affaire, les intérêts du curateur entrent en conflit avec ceux de la personne protégée, l'autorité de protection de l'adulte nomme un substitut ou règle l'affaire elle-même (al. 1). L'existence d'un conflit d'intérêts entraîne de plein droit la fin des pouvoirs du curateur dans l'affaire en cause (al. 2).</w:t>
      </w:r>
    </w:p>
    <w:p>
      <w:r>
        <w:t>2.2.1 En l'espèce, l'Office était informé de la mesure de protection prononcée en faveur du débiteur. L'art. 68d al. 1 LP est par conséquent applicable.</w:t>
      </w:r>
    </w:p>
    <w:p>
      <w:r>
        <w:t>L'Office, tenant compte des indications de la réquisition de poursuite, a tenté une première notification du commandement de payer en mains du TPAE qui a échoué, cette juridiction ayant refusé de recevoir l'acte. L'Office a ensuite tenté de notifier le commandement de payer directement au débiteur sous curatelle selon les mentions figurant sur le commandement de payer, ce qui va à l'encontre de la protection instaurée par l'art. 68d al. 1 LP. Le commandement de payer a finalement été remis à la sœur du débiteur qui est domiciliée à la même adresse que ce dernier.</w:t>
      </w:r>
    </w:p>
    <w:p>
      <w:r>
        <w:t>La notification litigieuse est nulle, faute d'avoir été effectuée en mains du curateur désigné aux fins de gérer les affaires financières, juridiques et administratives du protégé. Elle est également nulle du fait que le commandement de payer a été fortuitement remis à une personne qui, bien qu'également curatrice du débiteur, n'avait pas vocation à intervenir pour ses affaires financières, juridiques et administratives et ne pouvait valablement recevoir cet acte en application de l'art. 68d al. 1 LP. Elle le pouvait d'autant moins qu'elle était elle-même dans un conflit d'intérêt avec le débiteur puisqu'ils s'opposent dans une procédure civile (art. 403 al. 1 CC).</w:t>
      </w:r>
    </w:p>
    <w:p>
      <w:r>
        <w:t>La notification fortuite du commandement de payer en mains d'un autre curateur du débiteur que celui compétent pour la gestion de ses affaires financières, juridiques et administratives n'a donc pas permis de "guérir" la nullité de la notification contrairement à ce que soutiennent l'Office et le créancier.</w:t>
      </w:r>
    </w:p>
    <w:p>
      <w:r>
        <w:t>- 7/10 -</w:t>
      </w:r>
    </w:p>
    <w:p>
      <w:r>
        <w:t>A/2760/2024-CS</w:t>
      </w:r>
    </w:p>
    <w:p>
      <w:r>
        <w:t>La nullité de la notification du commandement de payer sera par conséquent constatée.</w:t>
      </w:r>
    </w:p>
    <w:p>
      <w:r>
        <w:t>2.2.2 Le curateur a décelé le problème de conflit d'intérêts dans la notification d'un commandement de payer à son propre protégé et cherché à s'en prémunir en sollicitant une "autorisation" du TPAE pour entreprendre une poursuite. Il a ensuite mentionné dans sa réquisition de poursuite que le débiteur était sous curatelle de portée générale et que le commandement de payer devait être notifié au TPAE, peut-être dans l'optique que ce dernier "règle l'affaire lui-même" selon les termes de l'art. 403 al. 1 CC.</w:t>
      </w:r>
    </w:p>
    <w:p>
      <w:r>
        <w:t>L'Office a dans un premier temps correctement refusé de donner suite à la réquisition de poursuite, ayant constaté le conflit d'intérêts qu'impliquait la poursuite d'un protégé par son curateur et l'impossibilité de conduire une poursuite dans de telles circonstances. Le curateur s'étant prévalu de l'"autorisation" obtenue du TPAE, l'Office a accepté de notifier un commandement de payer au TPAE comme le précisait la réquisition de poursuite. Ce tribunal a toutefois refusé de recevoir le commandement de payer et n'a pris aucune mesure au sens de l'art. 403 al. 1 CC. L'Office – de manière incompréhensible – a finalement pris l'initiative de notifier le commandement de payer directement au débiteur incapable de discernement et protégé par une curatelle de portée générale.</w:t>
      </w:r>
    </w:p>
    <w:p>
      <w:r>
        <w:t>Ces solutions ne sont toutefois pas conformes aux art. 403 CC et 98d LP.</w:t>
      </w:r>
    </w:p>
    <w:p>
      <w:r>
        <w:t>Afin de permettre à la poursuite litigieuse de suivre son cours, seule la voie de la désignation d'un curateur ad hoc au débiteur, en application de l'art. 403 al. 1 CC, est ouverte.</w:t>
      </w:r>
    </w:p>
    <w:p>
      <w:r>
        <w:t>La Chambre de céans a, dans cette optique, signalé au TPAE (art. 443 CC) le conflit d'intérêts rencontré par le curateur du débiteur afin qu'il prenne toute mesure nécessaire permettant la notification du commandement de payer litigieux, dans le respect des mesures de protection du débiteur, ce qui est désormais chose faite.</w:t>
      </w:r>
    </w:p>
    <w:p>
      <w:r>
        <w:rPr>
          <w:b/>
        </w:rPr>
        <w:t>E. 3</w:t>
      </w:r>
    </w:p>
    <w:p>
      <w:r>
        <w:t>La plaignante conclut également à la constatation de la nullité de la poursuite.</w:t>
      </w:r>
    </w:p>
    <w:p>
      <w:r>
        <w:t>3.1.1 Si la notification du commandement de payer échoue, la réquisition de poursuite, dûment formée, reste valable. Dans un tel cas, il y a lieu de procéder à une nouvelle notification (arrêt du Tribunal fédéral 5A_412/2016 du 14 octobre 2026 consid. 3.4, BlSchK 2017, 77; KOFMEL EHRENZELLER, op. cit., n° 47 ad art. 67 LP).</w:t>
      </w:r>
    </w:p>
    <w:p>
      <w:r>
        <w:t>3.1.2 A teneur de l'art. 67 al. 1 ch. 2 LP, la réquisition de poursuite énonce, parmi d'autre mentions obligatoires, le nom et le domicile du débiteur, et, le cas échéant, de son représentant légal.</w:t>
      </w:r>
    </w:p>
    <w:p>
      <w:r>
        <w:t>Le commandement de payer contient notamment les mêmes indications que celles prescrites pour la réquisition de poursuite (69 al. 2 ch. 1 LP).</w:t>
      </w:r>
    </w:p>
    <w:p>
      <w:r>
        <w:t>- 8/10 -</w:t>
      </w:r>
    </w:p>
    <w:p>
      <w:r>
        <w:t>A/2760/2024-CS</w:t>
      </w:r>
    </w:p>
    <w:p>
      <w:r>
        <w:t>Si le débiteur a un représentant légal, connu du créancier, ce dernier doit en faire mention dans la réquisition de poursuite (art. 67 al. 1 ch. 2 CC; KOFMEL EHRENZELLER, Basler Kommentar, SchKG, 2021, n° 33 ad art. 67 LP).</w:t>
      </w:r>
    </w:p>
    <w:p>
      <w:r>
        <w:t>La désignation inexacte, voire totalement fausse, ou incomplète d'une partie n'entraîne la nullité de la poursuite que lorsqu'elle était de nature à induire les intéressés en erreur et que tel a effectivement été le cas. Si ces conditions ne sont pas réalisées et que la partie qui fait état de la désignation vicieuse n'a pas été lésée dans ses intérêts, la poursuite ne sera pas annulée; on se bornera à ordonner, en cas de besoin, que les actes de poursuite déjà établis soient rectifiés ou complétés (ATF 114 III 62 consid. 1).</w:t>
      </w:r>
    </w:p>
    <w:p>
      <w:r>
        <w:t>Ainsi, selon le Tribunal fédéral, doit être annulée la poursuite introduite par un créancier qui emploie un faux nom ou dont la désignation est imprécise, quand, de ce fait, le débiteur n'est pas au clair sur l'identité réelle du poursuivant. En revanche, le moyen tiré de la nullité d'une poursuite pour cause de désignation inexacte du créancier ne peut plus être invoqué lorsque l'équivoque a été dissipée par la suite et que le poursuivi n'a pas subi de préjudice. Si la désignation défectueuse du créancier permet de reconnaître sans plus le véritable créancier, l'acte doit être rectifié et la poursuite continuée. De même, lorsque l'indication du domicile du créancier fait défaut dans le commandement de payer, l'acte sera complété; on ne l'annulera que si le créancier n'indique pas son domicile dans le délai qui lui aura été fixé (ATF 114 III 62 consid. 1 et les références citées; 102 III 133 consid. 2; 93 III 50; 87 III 59; 82 III 129 consid. 2).</w:t>
      </w:r>
    </w:p>
    <w:p>
      <w:r>
        <w:t>La poursuite visant directement un débiteur sous curatelle de portée générale, sans mention du curateur, n'est pas nulle car le protégé est bien le débiteur soumis à la poursuite malgré la mesure de protection (KOFMEL EHRENZELLER, op. cit., n° 27 ad art. 68d LP et n° 25 ad art. 68c LP).</w:t>
      </w:r>
    </w:p>
    <w:p>
      <w:r>
        <w:t>L'office ne donne pas suite à une réquisition de poursuite nulle (art. 22 al. 1 LP); il en informe le poursuivant, qui doit pouvoir recommencer la poursuite (Circ. N 16 du TF du 3 avril 1925, concernant les communautés héréditaires et les indivisions; ATF 80 III 7, JdT 1955 II 30). Il ne donne pas non plus immédiatement suite à une réquisition de poursuite entachée de défauts n'entraînant pas la nullité; s'ils sont réparables, il impartit au poursuivant un délai pour remédier aux défauts (rectification ou complètement des indications défectueuses) ou lui demande les informations nécessaires et ceci dans le délai de notification du commandement de payer (ATF 141 III 173 consid. 2.4; 109 III 4, JdT 1985 II 66; 102 III 133, JdT 1978 II 62; KOFMEL EHRENZELLER, op. cit., n° 46a ad art. 67 LP; RUEDIN, Commentaire Romand, Poursuite et faillite, 2005, n° 49 ad art. 67 LP).</w:t>
      </w:r>
    </w:p>
    <w:p>
      <w:r>
        <w:rPr>
          <w:b/>
        </w:rPr>
        <w:t>E. 3.2</w:t>
      </w:r>
    </w:p>
    <w:p>
      <w:r>
        <w:t>En l'espèce, la réquisition de poursuite vise une personne sous curatelle de portée générale, mentionne expressément cette mesure, mais ne précise pas le nom et l'adresse du curateur du débiteur. Pour le surplus, elle comporte le nom et l'adresse du créancier, ainsi que la créance en poursuite dont elle expose la cause.</w:t>
      </w:r>
    </w:p>
    <w:p>
      <w:r>
        <w:t>- 9/10 -</w:t>
      </w:r>
    </w:p>
    <w:p>
      <w:r>
        <w:t>A/2760/2024-CS Elle permet par conséquent de déterminer qui sont le créancier et le débiteur, ainsi que la créance dont le recouvrement est requis, de sorte qu'elle est valable et permet d'ouvrir une poursuite. La mention du nom du curateur, qui est nécessaire pour la notification des actes de poursuites, peut être complétée sur interpellation de l'Office, sans que cela ne nuise à la validité de la poursuite dont les éléments essentiels ressortent de la réquisition.</w:t>
      </w:r>
    </w:p>
    <w:p>
      <w:r>
        <w:t>La mention du curateur habilité à recevoir les actes de poursuite était d'ailleurs en l'occurrence malaisée puisque le créancier / curateur, ne pouvait indiquer son nom en raison du conflit d'intérêts et qu'un curateur ad hoc n'avait pas encore été désigné. A vrai dire, il aurait été opportun de solliciter et attendre une telle désignation avant de requérir la poursuite.</w:t>
      </w:r>
    </w:p>
    <w:p>
      <w:r>
        <w:t>En définitive, la poursuite n'est pas nulle, de sorte que les conclusions de plainte en ce sens seront rejetées, mais l'Office devra faire compléter la réquisition de poursuite conformément aux principes rappelés ci-dessus.</w:t>
      </w:r>
    </w:p>
    <w:p>
      <w:r>
        <w:rPr>
          <w:b/>
        </w:rPr>
        <w:t>E. 4</w:t>
      </w:r>
    </w:p>
    <w:p>
      <w:r>
        <w:t>En définitive, la Chambre de surveillance rejettera la plainte en tant qu'elle tend au constat de la nullité de la poursuite, constatera la nullité de la notification du commandement de payer et invitera l'Office à y procéder à nouveau, après complètement de la réquisition de poursuite par le créancier, maintenant qu'un curateur ad hoc a été désigné au débiteur.</w:t>
      </w:r>
    </w:p>
    <w:p>
      <w:r>
        <w:rPr>
          <w:b/>
        </w:rPr>
        <w:t>E. 5</w:t>
      </w:r>
    </w:p>
    <w:p>
      <w:r>
        <w:t>La procédure devant l'autorité de surveillance est gratuite (art. 20a al. 2 ch. 5 LP; art. 61 al. 2 let. a OELP) et ne donne pas lieu à l'allocation de dépens (art. 62 al. 2 OELP). * * * * *</w:t>
      </w:r>
    </w:p>
    <w:p>
      <w:r>
        <w:t>- 10/10 -</w:t>
      </w:r>
    </w:p>
    <w:p>
      <w:r>
        <w:t>A/2760/2024-CS PAR CES MOTIFS, La Chambre de surveillance : A la forme : Déclare recevable la plainte formée le 27 août 2024 par A______ contre la poursuite et la notification du commandement de payer n° 1______. Au fond : Rejette la plainte dans la mesure où elle tend au constat de la nullité de la poursuite n° 1______. Constate la nullité de la notification du commandement de payer, poursuite n° 1______, à A______ le 20 août 2024. Invite l'Office à procéder à une nouvelle notification du commandement de payer après avoir fait compléter la réquisition de poursuite, conformément aux considérants de la présente décision. Siégeant : Monsieur Jean REYMOND, président; Madame Ekaterine BLINOVA et Monsieur Denis KELLER,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