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DCSO/605/2025 vom 6. November 2025</w:t>
      </w:r>
    </w:p>
    <w:p>
      <w:r>
        <w:t>GE Cour de justice, 2025-11-06, FR</w:t>
      </w:r>
    </w:p>
    <w:p>
      <w:r>
        <w:rPr>
          <w:b/>
        </w:rPr>
        <w:t xml:space="preserve">Quelle: </w:t>
      </w:r>
      <w:r>
        <w:t>https://mcp.opencaselaw.ch/entscheid/ge_gerichte_DCSO_605_2025</w:t>
      </w:r>
    </w:p>
    <w:p>
      <w:r>
        <w:t>FR: GE_GERICHTE DCSO/605/2025 du 6 novembre 2025</w:t>
      </w:r>
    </w:p>
    <w:p>
      <w:r>
        <w:t>IT: GE_GERICHTE DCSO/605/2025 del 6 novembre 2025</w:t>
      </w:r>
    </w:p>
    <w:p>
      <w:pPr>
        <w:pStyle w:val="Heading2"/>
      </w:pPr>
      <w:r>
        <w:t>Erwägungen</w:t>
      </w:r>
    </w:p>
    <w:p>
      <w:r>
        <w:rPr>
          <w:b/>
        </w:rPr>
        <w:t>E. 19</w:t>
      </w:r>
    </w:p>
    <w:p>
      <w:r>
        <w:t>mai 2025 dans la série 4______, concluant à l’annulation de ce procès-verbal de saisie et du protocole d’audition du débiteur daté du 27 mai 2025, ainsi qu’à la constatation qu’aucune saisie ne pourra être ordonnée sur ses revenus.</w:t>
      </w:r>
    </w:p>
    <w:p>
      <w:r>
        <w:t>Elle se prévaut du caractère insaisissable de ses rentes LAA et LPP au sens des art. 92 al. 1 ch. 9, ch. 9a et ch. 10 LP, subsidiairement de l’art. 93 LP ; qu’elle estime par ailleurs que la saisie porte atteinte au minimum vital de la famille en ce que l’Office a tenu compte de la rente AI versée à sa fille H______, née le ______ 2009, et omis de prendre en considération les charges relatives à sa fille aînée I______, née le ______ 2002, qui habite avec elle et suit une formation de secrétaire médicale à distance depuis juin 2024.</w:t>
      </w:r>
    </w:p>
    <w:p>
      <w:r>
        <w:t>b. Sa requête tendant à l’octroi de l’effet suspensif à sa plaint a été rejetée le 11 juin 2025.</w:t>
      </w:r>
    </w:p>
    <w:p>
      <w:r>
        <w:t>c. Le 12 juin 2025, B______ SA s’en est rapportée à justice.</w:t>
      </w:r>
    </w:p>
    <w:p>
      <w:r>
        <w:t>d. [La banque] C______ et D______ SA ne se sont pas déterminées.</w:t>
      </w:r>
    </w:p>
    <w:p>
      <w:r>
        <w:t>- 4/9 -</w:t>
      </w:r>
    </w:p>
    <w:p>
      <w:r>
        <w:t>A/1935/2025-CS</w:t>
      </w:r>
    </w:p>
    <w:p>
      <w:r>
        <w:t>e. Par avis du 7 juillet 2025, les parties ont été informées que la cause était gardée à juger. EN DROIT 4. 1.1 La Chambre de surveillance est compétente pour statuer sur les plaintes formées en application de la LP (art. 13 LP ; art. 125 et 126 al. 2 let. C LOJ ; art. 6 al. 1 et 3 et 7 al. 1 LaLP) contre des mesures prises par l’office qui ne peuvent être attaquées par la voie judiciaire (art. 17 al. 1 LP). Par « mesure »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 arrêts du Tribunal fédéral 5A_727/2017 et 5A_728/2017 du 8 janvier 2018, destinés à la publication, consid. 4.2.1). La plainte doit être déposée, sous forme écrite et motivée (art. 9 al. 1 et 2 LaLP ; art. 65 al. 1 et 2 LPA, applicable par renvoi de l’art. 9 al. 4 LaLP), dans les dix jours de celui où le plaignant a eu connaissance de la mesure (art. 17 al. 2 LP).</w:t>
      </w:r>
    </w:p>
    <w:p>
      <w:r>
        <w:t>1.2 En l’espèce, la plainte déposée par la débitrice poursuivie dans les délai et forme prescrits par la loi est recevable en ce qu’elle est dirigée contre le procès- verbal de saisie dans la série n° 4______.</w:t>
      </w:r>
    </w:p>
    <w:p>
      <w:r>
        <w:t>Elle n’est en revanche pas recevable en ce qu’elle tend à l’annulation du protocole d’audition de la poursuivie établi le 27 mai 2025 dans la série n° 6______, qui ne constitue pas un acte d’exécution sujet à plainte. 2. La plaignante se prévaut tout d’abord du caractère insaisissable des rentes saisies.</w:t>
      </w:r>
    </w:p>
    <w:p>
      <w:r>
        <w:t>2.1 Les rentes au sens de l’art. 20 de la loi fédérale sur l’assurance-vieillesse et survivants, ou de l’art. 50 de la loi fédérale sur l’assurance-invalidité, les prestations au sens de l’art. 12 de la loi fédérale sur les prestations complémentaires à l’assurance-vieillesse, survivants et invalidité et les prestations des caisses de compensation pour allocations familiales sont insaisissables (art. 92 al. 1 ch. 9a LP ; ATF 130 III 400 consid. 3.3).</w:t>
      </w:r>
    </w:p>
    <w:p>
      <w:r>
        <w:t>Selon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w:t>
      </w:r>
    </w:p>
    <w:p>
      <w:r>
        <w:t>- 5/9 -</w:t>
      </w:r>
    </w:p>
    <w:p>
      <w:r>
        <w:t>A/1935/2025-CS</w:t>
      </w:r>
    </w:p>
    <w:p>
      <w:r>
        <w:t>Est ainsi relativement saisissable au sens de l’art. 93 al. 1 LP la rente d’invalidité octroyée en vertu de l’art. 18 al. 1 LAA, comme cela ressort des art. 19 et 20 LAA (ATF 134 III 182 cons. 4).</w:t>
      </w:r>
    </w:p>
    <w:p>
      <w:r>
        <w:t>Il en va de même des rentes servies par les institutions de prévoyance professionnelle une fois l’âge de la retraite atteint, le décès ou l’invalidité survenus (ATF 121 III 285 consid. 1b et 3 ; 120 III 71 consid. 2 et 3, JdT 1997 II 18 ; arrêts du Tribunal fédéral 7B.253/2003 du 23 décembre 2003 consid. 3.1 ; 7B.234/2003 du 17 novembre 2003 consid. 3).</w:t>
      </w:r>
    </w:p>
    <w:p>
      <w:r>
        <w:t>2.2 En l’espèce, la saisie contestée porte sur la rente-invalidité que la plaignante perçoit de son institution de prévoyance professionnelle F______/G______ et sur la rente fondée sur l’art. 18 LAA que lui verse F______.</w:t>
      </w:r>
    </w:p>
    <w:p>
      <w:r>
        <w:t>Ces rentes ne sont pas insaisissables au sens de l’art. 92 al. 1 ch. 9a LP, puisqu’il s’agit, pour la première, de la rente-invalidité correspondant au deuxième pilier versée par son institution de prévoyance professionnelle et, pour la seconde, des prestations fondées sur la LAA destinées à couvrir la perte de gain.</w:t>
      </w:r>
    </w:p>
    <w:p>
      <w:r>
        <w:t>C’est, partant, à juste titre que l’Office a pris ces rentes en considération comme revenus relativement saisissables au sens de l’art. 93 al. 1 LP.</w:t>
      </w:r>
    </w:p>
    <w:p>
      <w:r>
        <w:t>Ce grief n’est pas fondé. 3. La plaignante fait ensuite valoir une atteinte à son minimum vital. 3.1.1 Pour fixer le montant saisissable – en fonction des circonstances de fait existant lors de l’exécution de la saisie (ATF 115 III 103 consid. 1c) – l’office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NI-2024, RS/GE E 3 60.04).</w:t>
      </w:r>
    </w:p>
    <w:p>
      <w:r>
        <w:t>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y compris leur entretien, les soins corporels et de santé, l’entretien du logement, les assurances privées, les frais culturels et les dépenses pour l’éclairage, le courant électrique ou le gaz pour cuisiner (art. I NI-2024). D’autres charges indispensables, comme les frais de logement y compris les frais de chauffage et charges accessoires (art. II.1 et II.3 NI-2018), les dépenses indispensables à l’exercice d’une profession (art. II.4 NI-2018) ou encore les primes d’assurance-maladie obligatoire (art. II.3 NI-2018) doivent être ajoutées à cette base mensuelle d’entretien, pour autant qu’elles</w:t>
      </w:r>
    </w:p>
    <w:p>
      <w:r>
        <w:t>- 6/9 -</w:t>
      </w:r>
    </w:p>
    <w:p>
      <w:r>
        <w:t>A/1935/2025-CS soient effectivement et régulièrement payées (Ochsner, in CR-LP, n. 82 et n° 83 ad art. 93 LP).</w:t>
      </w:r>
    </w:p>
    <w:p>
      <w:r>
        <w:t>3.1.2 L’entretien de l’enfant majeur doit être inclus dans le minimum vital du parent débiteur si ce dernier assume une obligation légale à cet égard. Aux termes de l’art. 277 al. 2 CC, les parents ont l’obligation d’entretenir l’enfant majeur lorsque, à sa majorité, celui-ci n’a pas encore de formation appropriée et pour autant que les circonstances permettent de l’exiger d’eux. Même si aujourd’hui on reconnaît aux enfants un droit à être entretenus et éduqués après leur majorité s’ils suivent des études supérieures, ce droit est limité par les conditions économiques et les ressources des parents (ATF 118 II 97 consid. 4 ; arrêt du Tribunal fédéral 7B.200/1999 du 26 novembre 1999). L’obligation d’entretien au sens de l’art. 277 al. 2 CC est conditionnée à la capacité financière des parents de telle sorte que, si celle-ci fait défaut (ce qui est en principe le cas si le parent concerné fait l’objet d’une saisie de revenus), l’obligation d’entretien ne subsiste pas au- delà de la majorité de l’enfant et l’entretien de l’enfant majeur aux études ne peut être inclus dans le minimum vital des parents. Il ne se justifie pas, en effet, d’autoriser les parents à fournir l’entretien à un enfant majeur au détriment de leurs créanciers (ATF 98 III 34 consid. 2 et 3 ; arrêts du Tribunal fédéral 5A_429/2013 du 16 août 2013 consid. 4 ; 7B.200/1999 précité consid. 2, publié in : FamPra.ch, 2000 p. 550 ; Gilliéron, Commentaire de la loi fédérale sur la poursuite pour dettes et la faillite, n° 83 et 85 ad art. 93 ’P). Il ressort en outre du chiffre II.6 NI, que des dépenses particulières peuvent être prises en compte dans le minimum vital du débiteur pour la formation d’un enfant majeur sans rémunération uniquement jusqu’à la fin de la première formation scolaire ou du premier apprentissage de celui-ci, ou encore jusqu’à l’acquisition d’une maturité ou d’un diplôme de formation, de sorte que les frais afférents aux études supérieures en sont exclus (arrêt du Tribunal fédéral 5A_919/2012 du 11 février 2013 consid. 5.3 et références citées).</w:t>
      </w:r>
    </w:p>
    <w:p>
      <w:r>
        <w:t>3.1.3 Les pensions alimentaires versées au débiteur en faveur d’enfants vivant avec lui, les allocations familiales, les rentes servies par l’AVS ou l’AI, les aides publiques ou privées à la formation ne sont pas ajoutées au revenu déterminant, car il s’agit de prestations qui doivent être exclusivement affectées aux besoins des enfants ; elles viennent en déduction de la base mensuelle d’entretien des enfants, car il s’agit de prestations qui doivent être exclusivement affectées à leurs besoins (DCSO/485/2025, consid. 2.1.2 ; Ochsner, CR LP (2025), n. 103 ad 93 LP ; Vonder Mühl, in Basler Kommentar SchkG I, N 35 ad art. 93 LP).</w:t>
      </w:r>
    </w:p>
    <w:p>
      <w:r>
        <w:t>3.1.4 Dans les cas où les revenus du débiteur comprennent, outre des revenus relativement saisissables au sens de l’art. 93 al. 1 LP, une rente absolument insaisissable en vertu de l’art. 92 al. 1ch. 9a LP, il convient d’ajouter le montant de cette dernière aux autres sources de revenu pour calculer la part saisissable (ATF135 III 20 consid. 5.1).</w:t>
      </w:r>
    </w:p>
    <w:p>
      <w:r>
        <w:t>- 7/9 -</w:t>
      </w:r>
    </w:p>
    <w:p>
      <w:r>
        <w:t>A/1935/2025-CS</w:t>
      </w:r>
    </w:p>
    <w:p>
      <w:r>
        <w:t>3.2.1 C’est en l’espèce à juste titre que l’Office n’a pas pris en considération, dans le calcul du minimum vital de la poursuivie, des charges de sa fille majeure I______, née en 2002 et donc âgée de 23 ans, qui suit une formation d’assistante médicale à distance depuis juin 2024, les pièces produites ne permettant pas de retenir qu’il s’agit de la première formation entreprise par celle-ci, compte tenu notamment de son âge.</w:t>
      </w:r>
    </w:p>
    <w:p>
      <w:r>
        <w:t>3.2.2 La plaignante reproche en outre à l’Office de n’avoir pas tenu compte dans son minimum vital de l’intégralité des charges de sa fille mineure H______, née en 2009, soit en particulier d’avoir pris en considération la rente-invalidité complémentaire versée en faveur de l’enfant et d’avoir en conséquence augmenté la quotité saisissable.</w:t>
      </w:r>
    </w:p>
    <w:p>
      <w:r>
        <w:t>Il résulte des pièces au dossier que la poursuivie perçoit pour sa fille mineure des rentes-invalidité complémentaire de la Caisse de compensation J______ et de son institution de prévoyance professionnelle K______ à hauteur de 303 fr. et 131 fr. 10 par mois, ainsi que les allocations familiales de 415 fr. par mois. En application des principes rappelés sous consid. 3.1.2 ci-dessus, ces prestations versées en faveur de l’enfant viennent en déduction des charges relatives à celle- ci, retenues par l’Office à hauteur de 600 fr. correspondant au montant de base, de 286 fr. au titre des repas pris à l’extérieur, de sorte que le minimum vital de la mineure à charge de la poursuivie représente 36 fr. 90 (600 fr. + 286 fr. = 886 fr. de charges, sous déduction des rentes et allocations familiales de 849 fr. 10 (303 fr. + 131 fr. 10 + 415 fr.)).</w:t>
      </w:r>
    </w:p>
    <w:p>
      <w:r>
        <w:t>La plaignante n’a, pour le surplus, pas remis en cause les montants pris en considération par l’Office au titre de son loyer pour établir son minimum vital, comprenant le montant de base OP pour un débiteur monoparental (1’350 fr.), le loyer, allocation de logement déduite (747 fr. 75, soit 1’033 fr. 75 – 286 fr.), les frais de transports publics (5 fr. 50) et le forfait pour animaux de compagnie (60 fr.), correspondant à 2’162 fr. 75 au total.</w:t>
      </w:r>
    </w:p>
    <w:p>
      <w:r>
        <w:t>Le minimum vital de la poursuivie, comprenant les charges de sa fille mineure non couvertes par les rentes et les allocations versées en faveur de celle-ci, se monte ainsi à 2’199 fr. 65 fr. (2’162 fr. 75 + 36 fr. 90).</w:t>
      </w:r>
    </w:p>
    <w:p>
      <w:r>
        <w:t>Reste enfin à déterminer la quotité saisissable sur les rentes relativement saisissables.</w:t>
      </w:r>
    </w:p>
    <w:p>
      <w:r>
        <w:t>La rente-invalidité de la Caisse de compensation J______ de 757 fr. et les prestations complémentaires que la plaignante perçoit à hauteur de respectivement 757 fr. et 1’597 fr., soit 2’354 fr. au total, sont insaisissables. Elles permettent en revanche de couvrir le minimum vital de la plaignante et de sa fille mineure, arrêté à 2’200 fr. ci-avant.</w:t>
      </w:r>
    </w:p>
    <w:p>
      <w:r>
        <w:t>Il s’ensuit que la saisie effectuée sur les rentes-invalidité versées à la plaignante par son institution son institution de prévoyance professionnelle</w:t>
      </w:r>
    </w:p>
    <w:p>
      <w:r>
        <w:t>- 8/9 -</w:t>
      </w:r>
    </w:p>
    <w:p>
      <w:r>
        <w:t>A/1935/2025-CS F______/G______ ou par F______ sur la base de l’art. 18 LAA ne porte pas atteinte à son minimum vital.</w:t>
      </w:r>
    </w:p>
    <w:p>
      <w:r>
        <w:t>Les griefs soulevés par la plaignante n’étant pas fondés, sa plainte sera rejetée. 4. La procédure de plainte est gratuite (art. 61 al. 2 let. A OELP) et ne donne pas lieu à l’allocation de dépens (art. 62 al. 2 OELP). * * * * *</w:t>
      </w:r>
    </w:p>
    <w:p>
      <w:r>
        <w:t>- 9/9 -</w:t>
      </w:r>
    </w:p>
    <w:p>
      <w:r>
        <w:t>A/1935/2025-CS PAR CES MOTIFS, La Chambre de surveillance : A la forme : Déclare recevable la plainte formée le 2 juin 2025 par A______ contre le procès-verbal de saisie établi le 19 mai 2025 dans la série n° 4______. La déclare irrecevable en ce qu’elle est dirigée contre le protocole d’audition dressé le 27 mai 2025. Au fond : Rejette la plainte formée contre le procès-verbal de saisie établi le 19 mai 2025 dans la série n° 4______. Siégeant : Madame Ursula ZEHETBAUER GHAVAMI, présidente; Monsieur Luca MINOTTI et Monsieur Anthony HUGUENIN, juges assesseurs; Madame Elise CAIRUS, greffière.</w:t>
      </w:r>
    </w:p>
    <w:p>
      <w:r>
        <w:t>La présidente : Ursula ZEHETBAUER GHAVAMI La greffière : 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