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DCSO/604/2025 vom 6. November 2025</w:t>
      </w:r>
    </w:p>
    <w:p>
      <w:r>
        <w:t>GE Cour de justice, 2025-11-06, FR</w:t>
      </w:r>
    </w:p>
    <w:p>
      <w:r>
        <w:rPr>
          <w:b/>
        </w:rPr>
        <w:t xml:space="preserve">Quelle: </w:t>
      </w:r>
      <w:r>
        <w:t>https://mcp.opencaselaw.ch/entscheid/ge_gerichte_DCSO_604_2025</w:t>
      </w:r>
    </w:p>
    <w:p>
      <w:r>
        <w:t>FR: GE_GERICHTE DCSO/604/2025 du 6 novembre 2025</w:t>
      </w:r>
    </w:p>
    <w:p>
      <w:r>
        <w:t>IT: GE_GERICHTE DCSO/604/2025 del 6 novembre 2025</w:t>
      </w:r>
    </w:p>
    <w:p>
      <w:pPr>
        <w:pStyle w:val="Heading2"/>
      </w:pPr>
      <w:r>
        <w:t>Regeste</w:t>
      </w:r>
    </w:p>
    <w:p>
      <w:r>
        <w:t>Résumé: Recours au Tribunal fédéral formé le 20 novembre 2025 par le créancier (5A_1011/2025)</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w:t>
      </w:r>
    </w:p>
    <w:p>
      <w:r>
        <w:t>- 3/5 -</w:t>
      </w:r>
    </w:p>
    <w:p>
      <w:r>
        <w:t>A/1830/2025-CS potentiellement lésée dans ses intérêts (ATF 138 III 219 consid. 2.3; 129 III 595 consid. 3; 120 III 42 consid. 3), la plainte est recevable.</w:t>
      </w:r>
    </w:p>
    <w:p>
      <w:r>
        <w:rPr>
          <w:b/>
        </w:rPr>
        <w:t>E. 2</w:t>
      </w:r>
    </w:p>
    <w:p>
      <w:r>
        <w:t>La plaignante reproche à l’Office d’avoir considéré qu’il n’existait aucun for à Genève pour poursuivre la République de B______ et d’avoir en conséquence rejeté ses réquisitions de poursuite.</w:t>
      </w:r>
    </w:p>
    <w:p>
      <w:r>
        <w:t>2.1.1 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ainsi qu'un nombre très limité de fors spéciaux (art. 48 à 52 LP).</w:t>
      </w:r>
    </w:p>
    <w:p>
      <w:r>
        <w:t>L’Office doit vérifier les indications fournies par le créancier dans la réquisition de poursuite, dès lors que sa compétence en dépend (ATF 120 III 110 consid. 1a ; Wüthrich/Schoch, in BSK SchG I, 2021, n. 13 ad art. 69 LP). S'il lui apparaît que sa compétence territoriale ne résulte ni de l'art. 46 LP ni de l'un des fors spéciaux prévus par les art. 48 à 52 LP, l'Office des poursuites saisi doit rejeter la réquisition de poursuite (DCSO/525/2022 du 15 décembre 2022 consid. 2.1.1; Wüthrich/Schoch, in BSK SchKG I, 2021, n. 13 ad art. 69 LP ; Malacrida/Roesler, KUKO SchKG, 2ème édition, 2014, n. 5 ad art. 69 LP).</w:t>
      </w:r>
    </w:p>
    <w:p>
      <w:r>
        <w:t>2.1.2 Le for ordinaire de la poursuite est au domicile du débiteur (art. 46 LP).</w:t>
      </w:r>
    </w:p>
    <w:p>
      <w:r>
        <w:t>Le débiteur domicilié à l’étranger qui possède un établissement en Suisse peut y être poursuivi pour les dettes de celui-ci (art. 50 al. 1 LP). La notion d'établissement s'entend de tout lieu d'opérations où le débiteur exerce de façon non transitoire une activité économique avec des moyens humains, des biens et des services (DCSO/530/2024 du 17 novembre 2024, consid. 2.1.4 ; DCSO/44/2024 du 12 février 2024, consid. 2.1.2 ; Oppliger/Philippin, in CR LP, 2025, n. 5 ad art. 50 LP).</w:t>
      </w:r>
    </w:p>
    <w:p>
      <w:r>
        <w:t>La poursuite après séquestre peut s’opérer au lieu où l’objet séquestré se trouve (art. 52 al. 1 LP). Le for du séquestre au sens de l’art. 52 LP suppose un séquestre valablement exécuté (Arrêt du Tribunal fédéral 5A_364/2012 du 20 décembre 2012, consid. 4.2.1 ; Oppliger/Philippin, op. cit., 2025, n. 5 ad art. 52 LP ; Schmid, in BSK SchKG I, 2021, n. 6 ad art. 52),</w:t>
      </w:r>
    </w:p>
    <w:p>
      <w:r>
        <w:rPr>
          <w:b/>
        </w:rPr>
        <w:t>E. 2.2</w:t>
      </w:r>
    </w:p>
    <w:p>
      <w:r>
        <w:t>En l’espèce, l’Office a respecté les principes susvisés en procédant, à réception des réquisitions de poursuite, à l’examen de sa compétence à raison du lieu au regard des indications données par la plaignante.</w:t>
      </w:r>
    </w:p>
    <w:p>
      <w:r>
        <w:t>C’est ainsi à tort que la plaignante lui reproche de s’être penché sur le fond du litige sans limiter son examen aux conditions formelles de notification, puisqu’il était tenu d’examiner sa compétence au regard des dispositions régissant le for de la poursuite.</w:t>
      </w:r>
    </w:p>
    <w:p>
      <w:r>
        <w:t>La plaignante ne saurait par ailleurs être suivie lorsqu’elle fait grief à l’Office d’avoir décliné sa compétence à raison du lieu en raison du domicile étranger de</w:t>
      </w:r>
    </w:p>
    <w:p>
      <w:r>
        <w:t>- 4/5 -</w:t>
      </w:r>
    </w:p>
    <w:p>
      <w:r>
        <w:t>A/1830/2025-CS l’intimée : l’Office était tenu de vérifier l’existence d’un for à Genève au regard des indications données par la plaignante, qui n’a fait mention d’aucun for spécial au sens des art. 50 et ss LP dans ses réquisitions de poursuite. C’est, partant, à raison que l’Office a considéré qu’il n’existait aucun for ordinaire à Genève pour des poursuites dirigées contre la République de B______.</w:t>
      </w:r>
    </w:p>
    <w:p>
      <w:r>
        <w:t>Il sera enfin relevé, à titre superfétatoire, qu’aucun des fors spéciaux invoqués par la plaignante n’est réalisé. En effet, contrairement à ce que soutient la plaignante, une ambassade ne constitue pas un établissement analogue à une succursale en Suisse, puisqu’aucune activité économique n’y est exercée ; il n’en résulte en conséquence aucun for à Genève au sens de l’art. 50 al. 1 LP. Le for du séquestre au sens de l’art. 52 LP suppose quant à lui qu’un séquestre ait été exécuté, ce que la plaignante n’allègue, ni ne démontre.</w:t>
      </w:r>
    </w:p>
    <w:p>
      <w:r>
        <w:t>Les griefs soulevés par la plaignante n’étant pas fondés, la plainte sera rejetée.</w:t>
      </w:r>
    </w:p>
    <w:p>
      <w:r>
        <w:rPr>
          <w:b/>
        </w:rPr>
        <w:t>E. 3</w:t>
      </w:r>
    </w:p>
    <w:p>
      <w:r>
        <w:t>La procédure de plainte est gratuite (art. 20a al. 2 ch. 5 LP; 61 al. 2 let. a OELP) et il ne peut être alloué aucuns dépens dans cette procédure (art. 62 al. 2 OELP). * * * * *</w:t>
      </w:r>
    </w:p>
    <w:p>
      <w:r>
        <w:t>- 5/5 -</w:t>
      </w:r>
    </w:p>
    <w:p>
      <w:r>
        <w:t>A/1830/2025-CS PAR CES MOTIFS, La Chambre de surveillance : A la forme : Déclare recevable la plainte formée le 26 mai 2025 par A______ contre les deux décisions rendues par l’Office cantonal des poursuites le 6 mai 2025 dans le cadre des poursuites n° 3______ et 4______. Au fond : La rejette. Siégeant : Madame Ursula ZEHETBAUER GHAVAMI, présidente; Monsieur Luca MINOTTI et Monsieur Anthony HUGUENIN, juges assesseurs ;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