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DCSO/5/2025 vom 16. Januar 2025</w:t>
      </w:r>
    </w:p>
    <w:p>
      <w:r>
        <w:t>GE Cour de justice, 2025-01-16, FR</w:t>
      </w:r>
    </w:p>
    <w:p>
      <w:r>
        <w:rPr>
          <w:b/>
        </w:rPr>
        <w:t xml:space="preserve">Quelle: </w:t>
      </w:r>
      <w:r>
        <w:t>https://mcp.opencaselaw.ch/entscheid/ge_gerichte_DCSO_5_2025</w:t>
      </w:r>
    </w:p>
    <w:p>
      <w:r>
        <w:t>FR: GE_GERICHTE DCSO/5/2025 du 16 janvier 2025</w:t>
      </w:r>
    </w:p>
    <w:p>
      <w:r>
        <w:t>IT: GE_GERICHTE DCSO/5/2025 del 16 gennaio 2025</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de non-lieu de notification.</w:t>
      </w:r>
    </w:p>
    <w:p>
      <w:r>
        <w:t>La plainte doit être déposée, sous forme écrite et motivée (art. 9 al. 1 et 2 LaLP; art. 65 al. 1 et 2 LPA, applicable par renvoi de l'art. 9 al. 4 LaLP), dans les dix jours de celui où le plaignant a eu connaissance de la mesure (art. 17 al. 2 LP).</w:t>
      </w:r>
    </w:p>
    <w:p>
      <w:r>
        <w:t>1.1.2 Sauf dispositions contraires de la LP, les règles du CPC s'appliquent à la computation et à l'observation des délais (art. 31 LP).</w:t>
      </w:r>
    </w:p>
    <w:p>
      <w:r>
        <w:t>Lorsqu'une décision est envoyée par pli recommandé, elle est réputée notifiée à l'expiration d'un délai de sept jours à compter de l'échec de la remise, si le destinataire devait s'attendre à recevoir la notification (art. 138 al. 3 let. a CPC).</w:t>
      </w:r>
    </w:p>
    <w:p>
      <w:r>
        <w:t>Ce délai de sept jours n'est pas prolongé lorsque la Poste permet de retirer le pli dans un délai plus long, par exemple à la suite d'une demande de garde; 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arrêts du Tribunal fédéral 4A_577/2019 du 7 janvier 2020; 5A_1052/2017 du 10 janvier 2018, consid. 3).</w:t>
      </w:r>
    </w:p>
    <w:p>
      <w:r>
        <w:t>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(arrêt du Tribunal fédéral 6B_1336/2017 du 22 mai 2018, consid. 2.2).</w:t>
      </w:r>
    </w:p>
    <w:p>
      <w:r>
        <w:t>- 4/5 -</w:t>
      </w:r>
    </w:p>
    <w:p>
      <w:r>
        <w:t>A/3591/2024-CS</w:t>
      </w:r>
    </w:p>
    <w:p>
      <w:r>
        <w:rPr>
          <w:b/>
        </w:rPr>
        <w:t>E. 1.2</w:t>
      </w:r>
    </w:p>
    <w:p>
      <w:r>
        <w:t>En l'espèce la plaignante a déposé une réquisition de poursuite le 6 août 2024 et a ensuite eu des échanges écrits avec l'Office en lien avec la notification du commandement de payer à la société poursuivie. Elle devait donc s'attendre à recevoir une décision de l'Office dans ce contexte.</w:t>
      </w:r>
    </w:p>
    <w:p>
      <w:r>
        <w:t>L'art. 138 al. 3 let. a CPC est donc applicable, avec pour conséquence que la plaignante est réputée avoir reçu la décision contestée à l'expiration du délai de garde de sept jours à compter du 7 octobre 2024, soit le 14 octobre 2024.</w:t>
      </w:r>
    </w:p>
    <w:p>
      <w:r>
        <w:t>Le délai pour contester cette décision par la voie de la plainte a donc expiré sans être utilisé le 24 octobre 2024.</w:t>
      </w:r>
    </w:p>
    <w:p>
      <w:r>
        <w:t>La plainte déposée le 28 octobre 2024 est ainsi tardive, ce qui entraîne son irrecevabilité.</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