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DCSO/59/2015 vom 28. Januar 2015</w:t>
      </w:r>
    </w:p>
    <w:p>
      <w:r>
        <w:t>GE Cour de justice, 2015-01-28, FR</w:t>
      </w:r>
    </w:p>
    <w:p>
      <w:r>
        <w:rPr>
          <w:b/>
        </w:rPr>
        <w:t xml:space="preserve">Quelle: </w:t>
      </w:r>
      <w:r>
        <w:t>https://mcp.opencaselaw.ch/entscheid/ge_gerichte_DCSO_59_2015</w:t>
      </w:r>
    </w:p>
    <w:p>
      <w:r>
        <w:t>FR: GE_GERICHTE DCSO/59/2015 du 28 janvier 2015</w:t>
      </w:r>
    </w:p>
    <w:p>
      <w:r>
        <w:t>IT: GE_GERICHTE DCSO/59/2015 del 28 gennaio 2015</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délivrance d'un acte de défaut de biens.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le procès-verbal de saisie valant acte de défaut de biens a été adressé au plaignant le 20 juin 2014 et reçu par ce dernier le 23 juin 2014. Le délai pour former une plainte a donc expiré le 3 juillet 2014. Formée le 12 novembre 2014, la plainte est ainsi tardive.</w:t>
      </w:r>
    </w:p>
    <w:p>
      <w:r>
        <w:t>- 4/5 -</w:t>
      </w:r>
    </w:p>
    <w:p>
      <w:r>
        <w:t>A/3450/2014-CS</w:t>
      </w:r>
    </w:p>
    <w:p>
      <w:r>
        <w:t>Les griefs invoqués par le plaignant, soit un calcul selon lui erroné, au détriment des créanciers poursuivant, du minimum vital prévu par l'art. 93 al. 1 LP, ne sont par ailleurs pas de nature à entraîner la nullité de la mesure attaquée au sens de l'art. 22 al. 1 LP.</w:t>
      </w:r>
    </w:p>
    <w:p>
      <w:r>
        <w:t>La plainte doit donc être déclarée irrecevable.</w:t>
      </w:r>
    </w:p>
    <w:p>
      <w:r>
        <w:rPr>
          <w:b/>
        </w:rPr>
        <w:t>E. 2</w:t>
      </w:r>
    </w:p>
    <w:p>
      <w:r>
        <w:t>On relèvera pour le surplus que, à supposer que la plainte eût été recevable, les griefs soulevés par le plaignant auraient dû être déclarés mal fondés.</w:t>
      </w:r>
    </w:p>
    <w:p>
      <w:r>
        <w:t>C'est en effet à juste titre que l'Office, dans le cadre de la détermination du minimum vital de l'intimé, n'a tenu compte que des frais de santé effectivement payés par lui, soit de ses primes d'assurance maladie. Il n'y avait pas lieu à cet égard de tenir compte des factures du plaignant dès lors que celles-ci, d'une part, étaient impayées et que, d'autre part, elles remontaient à une période antérieure à la saisie. Le plaignant se méprend par ailleurs sur les effets de la décision de l'Office en ce qui le concerne : la prise en compte – injustifiée – de ses factures en souffrance dans le minimum vital du débiteur aurait en effet eu pour seule conséquence d'augmenter la part non saisissable de son salaire et n'aurait donc en rien modifié le constat d'absence de biens saisissables auquel est parvenu l'Office.</w:t>
      </w:r>
    </w:p>
    <w:p>
      <w:r>
        <w:t>Le droit actuel de l'exécution forcée des dettes d'argent ne confère par ailleurs aux prestataires de services en matière de santé aucun privilège réel ou personnel sur les prestations effectuées par les assureurs maladie en faveur de leurs assurés en remboursement total ou partiel du coût de tels services : le plaignant ne peut donc prétendre en vertu de la LP, dans le cadre de la poursuite litigieuse, à aucun droit préférentiel sur les montants que l'intimé aurait, par hypothèse, reçus de l'assureur maladie de sa fille mineure.</w:t>
      </w:r>
    </w:p>
    <w:p>
      <w:r>
        <w:rPr>
          <w:b/>
        </w:rPr>
        <w:t>E. 3</w:t>
      </w:r>
    </w:p>
    <w:p>
      <w:r>
        <w:t>La procédure de plainte est gratuite (art. 20a al. 2 ch. 5 LP et art. 61 al. 2 lit. a OELP) et il ne peut être alloué aucuns dépens dans cette procédure (art. 62 al. 2 OELP). * * * * *</w:t>
      </w:r>
    </w:p>
    <w:p>
      <w:r>
        <w:t>- 5/5 -</w:t>
      </w:r>
    </w:p>
    <w:p>
      <w:r>
        <w:t>A/3450/2014-CS PAR CES MOTIFS, La Chambre de surveillance : A la forme : Déclare irrecevable la plainte formée le 12 novembre 2014 par M. L______ contre le procès-verbal de saisie valant acte de défaut de biens n° 05 xxxx82 T établi le 15 mai 2014 par l'Office des poursuites dans la poursuite n° 14 xxxx11 T. Siégeant : Monsieur Patrick CHENAUX, président; Monsieur Georges ZUFFEREY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