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DCSO/599/2018 vom 8. November 2018</w:t>
      </w:r>
    </w:p>
    <w:p>
      <w:r>
        <w:t>GE Cour de justice, 2018-11-08, FR</w:t>
      </w:r>
    </w:p>
    <w:p>
      <w:r>
        <w:rPr>
          <w:b/>
        </w:rPr>
        <w:t xml:space="preserve">Quelle: </w:t>
      </w:r>
      <w:r>
        <w:t>https://mcp.opencaselaw.ch/entscheid/ge_gerichte_DCSO_599_2018</w:t>
      </w:r>
    </w:p>
    <w:p>
      <w:r>
        <w:t>FR: GE_GERICHTE DCSO/599/2018 du 8 novembre 2018</w:t>
      </w:r>
    </w:p>
    <w:p>
      <w:r>
        <w:t>IT: GE_GERICHTE DCSO/599/2018 del 8 novembre 2018</w:t>
      </w:r>
    </w:p>
    <w:p>
      <w:pPr>
        <w:pStyle w:val="Heading2"/>
      </w:pPr>
      <w:r>
        <w:t>Erwägungen</w:t>
      </w:r>
    </w:p>
    <w:p>
      <w:r>
        <w:rPr>
          <w:b/>
        </w:rPr>
        <w:t>E. 1</w:t>
      </w:r>
    </w:p>
    <w:p>
      <w:r>
        <w:t>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 ou la communication du procès-verbal de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w:t>
      </w:r>
    </w:p>
    <w:p>
      <w:r>
        <w:rPr>
          <w:b/>
        </w:rPr>
        <w:t>E. 1.3</w:t>
      </w:r>
    </w:p>
    <w:p>
      <w:r>
        <w:t>La plainte a en l'espèce été déposée en temps utile et dans les formes prévues par la loi contre une saisie de gains en mains du poursuivi, qui constitue une mesure pouvant être attaquée par cette voie. La plaignante, exposée à être lésée dans ses intérêts protégés, dispose de la qualité pour contester cette décision. La plainte est donc recevable. Le 9 avril 2018, soit avant l'envoi de sa réponse sur le fond, l'Office a révoqué la décision attaquée et, en lieu et place, a adressé à I______ un avis au tiers débiteur l'invitant à s'acquitter désormais de sa dette alimentaire, à hauteur de 1'693 fr. par mois, en mains de l'Office. Cette nouvelle décision, rendue en conformité avec l'art. 17 al. 4 LP, rend certes sans objet la conclusion de la plaignante tendant à l'annulation de l'avis de saisie de gain daté du 23 mars 2018. Dans la mesure cependant où l'avis au tiers débiteur adressé à I______ fait état de la même quotité saisissable, la plainte conserve toutefois son objet en tant qu'elle était dirigée contre la manière dont cette quotité a été calculée. Il y a donc lieu d'entrer en matière.</w:t>
      </w:r>
    </w:p>
    <w:p>
      <w:r>
        <w:t>- 6/10 -</w:t>
      </w:r>
    </w:p>
    <w:p>
      <w:r>
        <w:t>A/1131/2018-CS</w:t>
      </w:r>
    </w:p>
    <w:p>
      <w:r>
        <w:rPr>
          <w:b/>
        </w:rPr>
        <w:t>E. 2.1</w:t>
      </w:r>
    </w:p>
    <w:p>
      <w:r>
        <w:t>Au même titre que les revenus du travail, les contributions d'entretien dues au débiteur poursuivi peuvent être saisies, sous déduction de ce que l'Office estime indispensable au débiteur et à sa famille (art. 93 al. 1 LP). Les créances d'un époux contre son conjoint ne sont toutefois saisies qu'en cas d'insuffisance des biens du poursuivi (art. 95a LP).</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NI-2018; OCHSNER, Le minimum vital (art. 93 al. 1 LP), in SJ 2012 II p. 119 ss, 123; COLLAUD, Le minimum vital selon l'article 93 LP, in RFJ 2012 p. 299 ss, 303; arrêt du Tribunal fédéral 5A_919/2012 du 11 février 2013 consid. 4.3.1).</w:t>
      </w:r>
    </w:p>
    <w:p>
      <w:r>
        <w:t>Si le débiteur vit avec un enfant mineur sur lequel il exerce la garde, les contributions à l'entretien de l'enfant versées par le parent non titulaire de la garde ne constituent pas un revenu du débiteur. Elles doivent au contraire être consacrées exclusivement à l'entretien de l'enfant (art. 289 al. 1 CC), ce qui signifie qu'elles couvriront partiellement ou entièrement les dépenses incompressibles encourues par le débiteur en relation avec l'entretien de l'enfant (base d'entretien, frais de déplacement, de crèche, primes d'assurances maladie, frais médicaux non couverts, etc.). Une participation équitable de l'enfant aux frais de logement peut à cet égard, selon les circonstances, être prise en considération (OCHSNER, in CR LP, N 58,103 et 175 ad art. 93 LP; KREN KOSTKIEWICZ, in KUKO SchKG, N 56 ad art. 93 LP; WINKLER, in Kommentar zum SchKG, 4ème édition, 2017, Kren Kostkiewicz/Vock [éd.], N 35 ad art. 93 LP).</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NI-2015) ou les primes d'assurance-maladie obligatoire (art. II.3 NI-2015), doivent être ajoutés à cette base mensuelle d'entretien, pour autant qu'elles soient effectivement payées (OCHSNER, in CR-LP, n° 82 ad art. 93 LP).</w:t>
      </w:r>
    </w:p>
    <w:p>
      <w:r>
        <w:t>2.2.1 C'est en premier lieu à juste titre que la plaignante reproche à l'Office d'avoir retenu dans le cadre de son calcul un revenu déterminant de 5'100 fr. Ce montant comprend en effet, outre la contribution d'entretien revenant à la</w:t>
      </w:r>
    </w:p>
    <w:p>
      <w:r>
        <w:t>- 7/10 -</w:t>
      </w:r>
    </w:p>
    <w:p>
      <w:r>
        <w:t>A/1131/2018-CS débitrice (3'600 fr.), celle revenant à son fils mineur (1'200 fr.) et les allocations familiales (300 fr.), alors que ces deux derniers montants doivent être exclusivement affectés à l'entretien de l'enfant.</w:t>
      </w:r>
    </w:p>
    <w:p>
      <w:r>
        <w:t>L'Office en convient du reste dès lors que, dans son dernier calcul annexé à ses observations, il ne tient plus compte que de la contribution d'entretien revenant à la débitrice.</w:t>
      </w:r>
    </w:p>
    <w:p>
      <w:r>
        <w:t>2.2.2 La plaignante ne conteste pas le montant retenu par l'Office au titre de loyer (1'991 fr. charges comprises). Elle estime toutefois qu'il aurait également dû tenir compte du loyer d'un emplacement de parking (135 fr.), obligatoire selon elle. Ce caractère obligatoire n'est toutefois démontré par aucune pièce et, à supposer même que la plaignante ait été contrainte de louer un emplacement de parking dont elle n'a pas besoin, il y a lieu d'admettre qu'elle aurait eu la possibilité de le sous-louer pour un montant identique à celui du loyer.</w:t>
      </w:r>
    </w:p>
    <w:p>
      <w:r>
        <w:t>C'est donc à juste titre que l'Office a écarté ce poste.</w:t>
      </w:r>
    </w:p>
    <w:p>
      <w:r>
        <w:t>2.2.3 Tout en admettant ne pas payer ses primes d'assurance maladie ni celles de son fils mineur, la plaignante fait grief à l'Office de ne pas en avoir tenu compte. Elle explique à cet égard que cette carence n'est pas due à une absence de volonté de sa part mais au fait que son époux ne lui verse qu'une partie des contributions d'entretien dues.</w:t>
      </w:r>
    </w:p>
    <w:p>
      <w:r>
        <w:t>Au vu des circonstances très particulières de l'espèce, cet argument paraît fondé. Les pièces produites par la plaignante établissent qu'au cours des trois mois précédant l'exécution de la saisie elle n'a reçu de son époux, débirentier, qu'un montant moyen de 2'945 fr. par mois pour son fils et elle-même au lieu de 5'100 fr. Le fait que ses revenus aient été inférieurs de 2'155 fr. à ce qu'ils auraient dû être explique ainsi qu'elle se soit trouvée sans sa faute dans l'impossibilité de payer les primes d'assurance maladie courantes, qu'elle l'ait voulu ou non. Le refus de les prendre en considération conduirait à pérenniser cette situation, en fixant la quotité saisissable à un montant ne lui permettant pas non plus de s'en acquitter. Il convient donc, à titre exceptionnel, de tenir compte des primes d'assurance maladie (de base, à l'exclusion d'éventuelles assurances complémentaires) pour la débitrice et son fils. Le dossier ne permettant toutefois pas d'établir leur montant au moment de l'exécution de la saisie, il appartiendra à l'Office de le déterminer.</w:t>
      </w:r>
    </w:p>
    <w:p>
      <w:r>
        <w:t>2.2.4 Les charges de l'enfant se composent de son entretien de base (600 fr.), de ses frais de transport (45 fr.) et de sa prime d'assurance maladie. Dès lors qu'ils sont plus que couverts par la contribution d'entretien qui lui revient, augmentée des allocations familiales, il se justifie, comme l'a fait l'Office, de faire participer l'enfant aux frais de logement. Dans un souci d'harmonie avec la décision fixant le montant des contributions d'entretien, cette participation sera fixée à 20%, soit 400 fr. (1'991 fr. × 20% = 398 fr. 20, arrondis à 400 fr.).</w:t>
      </w:r>
    </w:p>
    <w:p>
      <w:r>
        <w:t>- 8/10 -</w:t>
      </w:r>
    </w:p>
    <w:p>
      <w:r>
        <w:t>A/1131/2018-CS</w:t>
      </w:r>
    </w:p>
    <w:p>
      <w:r>
        <w:t>Les autres frais incompressibles de l'enfant allégués par la plaignante (activités extra-scolaires et frais d'orthodontie) n'ont aucunement été établis et doivent donc être écartés.</w:t>
      </w:r>
    </w:p>
    <w:p>
      <w:r>
        <w:t>Les charges encourues mensuellement par la plaignante en relation avec l'entretien de son fils, soit 1'045 fr. plus la prime d'assurance maladie de base, sont ainsi largement couvertes par la contribution d'entretien lui revenant et les allocations familiales. Il n'y a donc pas lieu d'en tenir compte dans le calcul de la quotité saisissable de la débitrice.</w:t>
      </w:r>
    </w:p>
    <w:p>
      <w:r>
        <w:t>2.2.5 Au vu des développements qui précèdent, les charges nécessaires de la plaignante se composent de son entretien de base (1'350 fr.), de son loyer (1'591 fr. soit 1'991 fr. sous déduction de la part prise en charge par l'enfant), de sa prime d'assurance maladie de base (montant demeurant à déterminer), de ses frais de déplacement (70 fr.) et des frais d'entretien d'un animal domestique (50 fr.). Les autres charges invoquées dans la plainte ne peuvent être prises en compte (charges fiscales) ou n'ont aucunement été établies (garantie de loyer Swiss Caution et frais médicaux non couverts).</w:t>
      </w:r>
    </w:p>
    <w:p>
      <w:r>
        <w:t>La quotité saisissable de la contribution d'entretien de 3'600 fr. due à la plaignante est ainsi de 539 fr. (3'600 fr. – 1'350 fr. – 1'591 fr. – 70 fr. – 50 fr.), sous déduction de la prime mensuelle d'assurance maladie de base, dont le montant reste à déterminer.</w:t>
      </w:r>
    </w:p>
    <w:p>
      <w:r>
        <w:rPr>
          <w:b/>
        </w:rPr>
        <w:t>E. 3.1</w:t>
      </w:r>
    </w:p>
    <w:p>
      <w:r>
        <w:t>Lorsque la saisie porte sur une créance, le préposé prévient le tiers débiteur que désormais il ne pourra plus s'acquitter qu'en mains de l'office (art. 99 LP).</w:t>
      </w:r>
    </w:p>
    <w:p>
      <w:r>
        <w:t>L'avis au tiers débiteur prévu par cette disposition n'est pas une condition de la saisie mais une mesure de sûreté visant à prévenir la disparition – soit l'extinction de la créance saisie par son paiement en mains du poursuivi ou d'un tiers – d'un avoir saisissable (ATF 109 III 11 consid. 2). Il a pour effet que le tiers débiteur ne peut plus se libérer valablement que par un paiement en mains de l'office (ATF 130 III 665 consid. 3). La créance saisie est réalisée soit par son paiement en mains de l'office (art. 100 LP) soit par sa vente aux enchères ou sa cession en paiement au sens de l'art. 231 LP. Dans ces dernières hypothèses, il revient à l'acquéreur d'en poursuivre le paiement (ATF 109 III 11 consid. 2).</w:t>
      </w:r>
    </w:p>
    <w:p>
      <w:r>
        <w:rPr>
          <w:b/>
        </w:rPr>
        <w:t>E. 3.2</w:t>
      </w:r>
    </w:p>
    <w:p>
      <w:r>
        <w:t>Dans le cas d'espèce, l'époux de la plaignante est supposé lui verser mensuellement un montant total de 5'100 fr. Sur cette somme, un montant de 1'500 fr. (1'200 fr. de contribution d'entretien et 300 fr. d'allocations familiales) revient à l'enfant et ne peut donc être saisi. Sur le montant de 3'600 fr. restant, qui correspond à la créance alimentaire saisie, une somme de 3'061 fr., à laquelle doit encore s'ajouter la prime d'assurance maladie de base de la plaignante (dont le montant doit être déterminé par l'Office), constitue le minimum vital de cette dernière et est donc également insaisissable. Dans la mesure où il subsiste ainsi vraisemblablement une quotité saisissable, même si elle est relativement faible, c'est, sur le principe, à juste titre que l'Office a adressé à l'époux de la plaignante</w:t>
      </w:r>
    </w:p>
    <w:p>
      <w:r>
        <w:t>- 9/10 -</w:t>
      </w:r>
    </w:p>
    <w:p>
      <w:r>
        <w:t>A/1131/2018-CS un avis au tiers débiteur au sens de l'art. 99 LP (bien que pour un montant erroné).</w:t>
      </w:r>
    </w:p>
    <w:p>
      <w:r>
        <w:t>Il se justifie cependant, dans les circonstances très particulières de la cause, de renoncer à cette mesure de sûreté.</w:t>
      </w:r>
    </w:p>
    <w:p>
      <w:r>
        <w:t>Il résulte en effet des allégations de la plaignante et des pièces qu'elle a produites qu'elle ne reçoit de son époux – ou éventuellement de l'employeur de ce dernier – que des montants inférieurs aux contributions fixées, ne lui permettant pas, déjà avant toute intervention de l'Office, de couvrir ses charges incompressibles telles que retenues ci-dessus. Dans la mesure où l'envoi à l'époux débirentier d'un avis au tiers débiteur au sens de l'art. 99 LP n'aurait vraisemblablement pas pour effet de conduire ce dernier à augmenter le montant total mensuel dont il s'acquitte au titre des contributions alimentaires dues, il paraît possible voire probable, afin de ne pas s'exposer au risque de devoir payer deux fois, qu'il verse à l'Office le montant de la quotité saisissable mais retranche ensuite ce montant de celui payé à la plaignante, laquelle subirait ainsi une atteinte à son minimum vital encore plus élevée.</w:t>
      </w:r>
    </w:p>
    <w:p>
      <w:r>
        <w:t>Afin d'éviter cette conséquence, il convient à titre exceptionnel de renoncer à adresser à l'époux de la plaignante un avis au débiteur au sens de l'art. 99 LP. Cette renonciation reste sans effet sur la saisie de la créance alimentaire mais ne touche que ses modalités d'application : c'est en effet à la poursuivie elle-même, et non au tiers débiteur, qu'il appartiendra, sous la menace des sanctions pénales prévues par la loi, de retenir chaque mois et de verser à l'Office, à concurrence de la quotité saisissable, tout montant reçu de son époux (ou directement de son employeur) excédant son minimum vital, après prise en compte de la contribution versée pour l'entretien de l'enfant et des allocations familiales. Il lui incombera dans ce cadre de renseigner chaque mois l'Office sur les montants reçus.</w:t>
      </w:r>
    </w:p>
    <w:p>
      <w:r>
        <w:t>Si, à l'expiration de la saisie, la part saisie de la créance alimentaire de la plaignante n'a pu être encaissée de la sorte par l'Office, celui-ci devra dans un premier temps inviter l'époux débirentier à s'acquitter du solde en ses mains (art. 100 LP) puis, en cas d'insuccès de cette démarche, procéder à la réalisation forcée de cette créance par sa vente aux enchères ou sa cession en paiement conformément à l'art. 231 LP.</w:t>
      </w:r>
    </w:p>
    <w:p>
      <w:r>
        <w:rPr>
          <w:b/>
        </w:rPr>
        <w:t>E. 4</w:t>
      </w:r>
    </w:p>
    <w:p>
      <w:r>
        <w:t>Au final, il y a ainsi lieu de constater l'annulation de l'avis de saisie de gains daté du 23 mars 2018, d'annuler l'avis au débiteur daté du 9 avril 2018 et d'inviter l'Office à calculer la quotité saisissable de la contribution d'entretien due à la plaignante conformément au considérant 2 ci-dessus puis, ceci fait, d'établir un procès-verbal de saisie conformément au considérant 3 ci-dessus.</w:t>
      </w:r>
    </w:p>
    <w:p>
      <w:r>
        <w:rPr>
          <w:b/>
        </w:rPr>
        <w:t>E. 5</w:t>
      </w:r>
    </w:p>
    <w:p>
      <w:r>
        <w:t>La procédure de plainte est gratuite (art. 20a al. 2 ch. 5 LP et art. 61 al. 2 let. a OELP) et il ne peut être alloué aucuns dépens dans cette procédure (art. 62 al. 2 OELP).</w:t>
      </w:r>
    </w:p>
    <w:p>
      <w:r>
        <w:t>- 10/10 -</w:t>
      </w:r>
    </w:p>
    <w:p>
      <w:r>
        <w:t>A/1131/2018-CS * * * * * PAR CES MOTIFS, La Chambre de surveillance : A la forme : Déclare recevable la plainte formée le 5 avril 2018 par A______ contre l'avis de saisie de gains établi le 23 mars 2018 par l'Office des poursuites dans la série n° 1______. Au fond : Constate que l'Office des poursuites a annulé l'acte attaqué. Annule l'avis au débiteur adressé le 9 avril 2018 par l'Office des poursuites à I______. Invite l'Office des poursuites, dans le sens des considérants, à procéder à un nouveau calcul de la quotité saisissable et à établir un procès-verbal de saisie. Siégeant : Monsieur Patrick CHENAUX, président; Messieurs Michel BERTSCHY et Claude MARCET, juges assesseurs; Madame Sylvie SCHNEWLIN, greffière. 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