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DCSO/597/2024 vom 28. November 2024</w:t>
      </w:r>
    </w:p>
    <w:p>
      <w:r>
        <w:t>GE Cour de justice, 2024-11-28, FR</w:t>
      </w:r>
    </w:p>
    <w:p>
      <w:r>
        <w:rPr>
          <w:b/>
        </w:rPr>
        <w:t xml:space="preserve">Quelle: </w:t>
      </w:r>
      <w:r>
        <w:t>https://mcp.opencaselaw.ch/entscheid/ge_gerichte_DCSO_597_2024</w:t>
      </w:r>
    </w:p>
    <w:p>
      <w:r>
        <w:t>FR: GE_GERICHTE DCSO/597/2024 du 28 novembre 2024</w:t>
      </w:r>
    </w:p>
    <w:p>
      <w:r>
        <w:t>IT: GE_GERICHTE DCSO/597/2024 del 28 novembre 2024</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 du débiteur (ATF 114 III 78; arrêt du Tribunal fédéral 5A_680/2015 du 6 novembre 2015 consid. 3).</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w:t>
      </w:r>
    </w:p>
    <w:p>
      <w:r>
        <w:t>- 4/7 -</w:t>
      </w:r>
    </w:p>
    <w:p>
      <w:r>
        <w:t>A/1662/2024-CS Elle peut également être déposée en tout temps en cas de nullité de l'acte contesté (art. 22 al. 1 LP).</w:t>
      </w:r>
    </w:p>
    <w:p>
      <w:r>
        <w:rPr>
          <w:b/>
        </w:rPr>
        <w:t>E. 1.3</w:t>
      </w:r>
    </w:p>
    <w:p>
      <w:r>
        <w:t>En l'espèce, la plainte est écrite et suffisamment motivée. Le plaignant dispose d'un intérêt à agir. La plainte est par conséquent recevable à ces égards. En revanche, il n'est pas certain qu'elle ait été formée dans le délai de 10 jours suivant la notification de la décision du 26 avril 2024. Cette question souffre toutefois de rester indécise, une atteinte au minimum vital du débiteur entraînant la nullité du séquestre litigieux, laquelle peut être constatée par la Chambre céans en tout temps, même en dehors de toute plainte. La plainte est par conséquent recevable et fondée s'il y a atteinte au minimum vital. Par contre elle sera déclarée irrecevable dans le cas contraire.</w:t>
      </w:r>
    </w:p>
    <w:p>
      <w:r>
        <w:rPr>
          <w:b/>
        </w:rPr>
        <w:t>E. 2</w:t>
      </w:r>
    </w:p>
    <w:p>
      <w:r>
        <w:t>2.1.1 En application de l'art. 275 LP, les art. 91 à 109 relatifs à la saisie s’appliquent par analogie à l’exécution du séquestre, notamment les art. 92 et 93 LP sur l'insaisissabilité des rentes AVS et la saisissabilité relative de revenu du travail. 2.1.2 Selon l'art. 93 al. 1 LP, les revenus relativement saisissables tels que les revenus du travail ne peuvent être saisis que déduction faite de ce que le préposé estime indispensable au débiteur et à sa famille (minimum vital).</w:t>
      </w:r>
    </w:p>
    <w:p>
      <w:r>
        <w:t>Pour fixer le montant saisissable – en fonction des circonstances de fait existant lors de l'exécution de la saisie (ATF 115 III 103 consid. 1c; ATF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(ci-après : NI; publiées au recueil systématique des lois genevoises : RS/GE E.3.60.04; OCHSNER, Le minimum vital (art. 93 al. 1 LP), in SJ 2012 II p. 119 ss, 123; COLLAUD, Le minimum vital selon l'article 93 LP, in RFJ 2012 p. 299 ss, 303; arrêt du Tribunal fédéral 5A_919/2012 du 11 février 2013 consid. 4.3.1).</w:t>
      </w:r>
    </w:p>
    <w:p>
      <w:r>
        <w:t>2.1.3 Les revenus pris en considération sont les revenus réels du débiteur. L'Office ne peut en effet fixer le montant saisissable en se fondant sur un revenu hypothétique (ATF 115 III 103 consid. 1.c = JdT 1991 II 108; arrêt du Tribunal fédéral 5A_490/2012 du 23 novembre 2012 consid. 3; KREN KOSTKIEWICZ, in KUKO SchKG, n° 17 ad art. 93 LP).</w:t>
      </w:r>
    </w:p>
    <w:p>
      <w:r>
        <w:t>Si des revenus du débiteur sont insaisissables au sens des articles 92 et 93 LP, ils sont néanmoins ajoutés aux revenus saisissables afin de calculer la quotité saisissable (ATF 135 III 20 consid. 5.1).</w:t>
      </w:r>
    </w:p>
    <w:p>
      <w:r>
        <w:t>- 5/7 -</w:t>
      </w:r>
    </w:p>
    <w:p>
      <w:r>
        <w:t>A/1662/2024-CS 2.1.4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La base mensuelle d'entretien est fixée sous forme de forfaits attribués au débiteur et aux membres de sa famille en fonction de la composition du groupe familial. Pour un débiteur vivant seul il s'élève à 1'200 fr. D'autres charges indispensables, comme les frais de logement (art. II.1 et II.3 NI) et les primes d'assurance-maladie obligatoire (art. II.3 NI), doivent être ajoutées à cette base mensuelle d'entretien, pour autant qu'elles soient effectivement payées (OCHSNER, Commentaire Romand, Poursuite et faillite, 2005, n° 82 ad art. 93 LP). Selon les Normes d'insaisissabilité, les frais de déplacement entre le domicile et le lieu de travail font en principe partie du minimum vital, s'ils sont indispensables à l'exercice d'une profession et si l'employeur ne les prend pas à sa charge (ch. II.4 let. d).</w:t>
      </w:r>
    </w:p>
    <w:p>
      <w:r>
        <w:t>Seuls les montants effectivement payés doivent être pris en compte (ATF 121 III 20 consid. 3b, JdT 1997 II p. 163; ATF 120 III 16 consid. 2c, JdT 1996 II p. 179; ATF 112 III 19, JdT 1988 II p. 118). 2.1.5 Dans le cadre tracé par les dispositions légales et les nombreux principes dégagés par la jurisprudence, l'Office dispose, dans la détermination du minimum vital du débiteur, d'un pouvoir d'appréciation étendu (art. 93 al. 1 LP; ATF 134 III 323 consid. 2; OCHSNER, in Commentaire Romand, Poursuite et faillite, 2005, n° 79 ad art. 93 LP), qui lui permet de prendre en considération aussi bien les intérêts des créanciers que ceux du débiteur (ATF 119 III 70 consid. 3b; KREN KOSTKIEWICZ, in KUKO SchKG, 2ème édition, 2014, n° 17 ad art. 93 LP).</w:t>
      </w:r>
    </w:p>
    <w:p>
      <w:r>
        <w:rPr>
          <w:b/>
        </w:rPr>
        <w:t>E. 2.2</w:t>
      </w:r>
    </w:p>
    <w:p>
      <w:r>
        <w:t>En l'espèce, en appliquant le principe d'effectivité des revenus et des charges que l'Office doit retenir dans le calcul du minimum vital, le plaignant a raison lorsqu'il reproche à l'Office d'avoir procédé à un calcul de la quotité saisissable de ses revenus en introduisant le gain retiré de son activité indépendante accessoire de 250 fr., sans en déduire les charges nécessaires à son acquisition. L'Office constate pour sa part avec raison que le plaignant n'établit pas l'existence, la quotité et la nécessité professionnelle des charges alléguées. Par ailleurs, il n'est pas clair de savoir si le montant des revenus tirés de l'activité indépendante accessoire retenu par l'Office s'exprime en termes bruts ou nets, aucune des parties ne le précisant et aucune explication n'étant fournie sur la composition de ce revenu. Il peut toutefois être admis qu'il s'agit d'un montant brut, les deux parties évoquant la déduction de charges dans leurs arguments.</w:t>
      </w:r>
    </w:p>
    <w:p>
      <w:r>
        <w:t>- 6/7 -</w:t>
      </w:r>
    </w:p>
    <w:p>
      <w:r>
        <w:t>A/1662/2024-CS Cela étant, force est de constater avec l'Office que le raisonnement suggéré par le plaignant conduirait à retenir que l'activité indépendante de ce dernier est fortement déficitaire, son revenu brut ne couvrant même pas le leasing allégué de son véhicule professionnel, sans évoquer d'autres charges, tels que les frais liés au véhicule loué (impôts, assurance, carburant), l'acquisition de la marchandise qu'il commercialise, etc. L'Office n'a pas à retenir les revenus et les charges d'une telle activité qui n'a économiquement aucune raison d'être et obère le budget du débiteur tant à son détriment qu'à celui de ses créanciers. Il en découle qu'il peut être exigé du débiteur qu'il cesse une telle activité et qu'il sera fait abstraction de tout revenu ou charge en lien avec une profession dans son budget. En l'occurrence, cela signifie la soustraction d'un montant de 250 fr. des revenus du débiteur (gain accessoire d'indépendant) et la soustraction d'un montant de 70 fr. de ses charges (frais de transports), ce qui conduit à une quotité saisissable de 1'318 fr. 50. La quotité saisissable des revenus du débiteur dans le cadre du séquestre litigieux sera par conséquent en l'état arrêtée à ce montant minimal. Le montant initial fixé par l'Office consacrait par conséquent une atteinte au minimum vital du plaignant à hauteur de quelque 180 fr. Il appartiendra à l'Office d'établir par pièces ou à tout le moins par indices probants l'existence d'une activité indépendante accessoire bénéficiaire du plaignant, s'il entend augmenter le montant saisi.</w:t>
      </w:r>
    </w:p>
    <w:p>
      <w:r>
        <w:rPr>
          <w:b/>
        </w:rPr>
        <w:t>E. 3</w:t>
      </w:r>
    </w:p>
    <w:p>
      <w:r>
        <w:t>La procédure devant l'autorité de surveillance est gratuite (art. 20a al. 2 ch. 5 LP; art. 61 al. 2 let. a OELP) et ne donne pas lieu à l'allocation de dépens (art. 62 al. 2 OELP).</w:t>
      </w:r>
    </w:p>
    <w:p>
      <w:r>
        <w:t>* * * * *</w:t>
      </w:r>
    </w:p>
    <w:p>
      <w:r>
        <w:t>- 7/7 -</w:t>
      </w:r>
    </w:p>
    <w:p>
      <w:r>
        <w:t>A/1662/2024-CS PAR CES MOTIFS, La Chambre de surveillance : A la forme : Déclare recevable la plainte formée le 15 mai 2024 contre la décision du 26 avril 2024 par l'Office dans le cadre du séquestre n° 2______. Au fond : L'admet partiellement et arrête le montant de la quotité saisissable des revenus de A______ à 1'318 fr. 50 par mois. Siégeant : Monsieur Jean REYMOND, président; Madame Ekaterine BLINOVA et Monsieur Denis KELLER,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