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DCSO/593/2018 vom 8. November 2018</w:t>
      </w:r>
    </w:p>
    <w:p>
      <w:r>
        <w:t>GE Cour de justice, 2018-11-08, FR</w:t>
      </w:r>
    </w:p>
    <w:p>
      <w:r>
        <w:rPr>
          <w:b/>
        </w:rPr>
        <w:t xml:space="preserve">Quelle: </w:t>
      </w:r>
      <w:r>
        <w:t>https://mcp.opencaselaw.ch/entscheid/ge_gerichte_DCSO_593_2018</w:t>
      </w:r>
    </w:p>
    <w:p>
      <w:r>
        <w:t>FR: GE_GERICHTE DCSO/593/2018 du 8 novembre 2018</w:t>
      </w:r>
    </w:p>
    <w:p>
      <w:r>
        <w:t>IT: GE_GERICHTE DCSO/593/2018 del 8 novembre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w:t>
      </w:r>
    </w:p>
    <w:p>
      <w:r>
        <w:t>- 4/8 -</w:t>
      </w:r>
    </w:p>
    <w:p>
      <w:r>
        <w:t>A/2632/2018-CS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l'art. 278 LP (ATF 136 III 379 consid. 3 et 4.2.2). Une telle nullité sera également retenue en cas d'incompétence à raison du lieu du juge du séquestre ou de l'Office lui-même (ATF 142 III 348 consid. 3.1; 136 III 379 consid. 3.1; 129 III 203 consid. 2.3; OCHSNER, Exécution du séquestre, in JT 2006 II p. 77 ss, 82).</w:t>
      </w:r>
    </w:p>
    <w:p>
      <w:r>
        <w:rPr>
          <w:b/>
        </w:rPr>
        <w:t>E. 3</w:t>
      </w:r>
    </w:p>
    <w:p>
      <w:r>
        <w:t>En l'espèce, le plaignant reproche à l'Office d'avoir refusé d'exécuter le séquestre ordonné par la Cour le 9 juillet 2018. Il conteste le bien-fondé des arguments soulevés à cet égard par l'Office, lesquels seront examinés ci-après.</w:t>
      </w:r>
    </w:p>
    <w:p>
      <w:r>
        <w:rPr>
          <w:b/>
        </w:rPr>
        <w:t>E. 3.1</w:t>
      </w:r>
    </w:p>
    <w:p>
      <w:r>
        <w:t>L'Office soutient tout d'abord que seul le Tribunal est compétent pour ordonner un séquestre et qu'il "aurait été préférable" que la Cour renvoie la cause au premier juge pour qu'il ordonne lui-même le séquestre requis. Il considère qu'en ayant ordonné elle-même le séquestre plutôt que de renvoyer la cause au Tribunal, la Cour aurait privé le débiteur de son droit au double degré de juridiction et à contester le séquestre par la voie de l'opposition.</w:t>
      </w:r>
    </w:p>
    <w:p>
      <w:r>
        <w:rPr>
          <w:b/>
        </w:rPr>
        <w:t>E. 3.1.1</w:t>
      </w:r>
    </w:p>
    <w:p>
      <w:r>
        <w:t>Aux termes de l'art. 86 LOJ, le Tribunal de première instance est compétent pour tous les actes de la juridiction civile contentieuse ou non contentieuse que la loi n'attribue pas à une autre autorité judiciaire ou administrative (al. 1). Il exerce notamment les compétences attribuées au juge par la LP (al. 3 let. a).</w:t>
      </w:r>
    </w:p>
    <w:p>
      <w:r>
        <w:t>La Chambre civile de la Cour de justice exerce quant à elle les compétences que le CPC attribue à l'autorité d'appel, à l'autorité de recours, à la juridiction cantonale unique ou au tribunal supérieur en matière d'arbitrage, sauf si la loi désigne une autre autorité (art. 120 al. 1 let. a LOJ).</w:t>
      </w:r>
    </w:p>
    <w:p>
      <w:r>
        <w:rPr>
          <w:b/>
        </w:rPr>
        <w:t>E. 3.1.2</w:t>
      </w:r>
    </w:p>
    <w:p>
      <w:r>
        <w:t>Seule la voie du recours est ouverte contre une décision refusant un séquestre (art. 309 let. b ch. 6 et 319 let. a CPC; arrêt du Tribunal fédéral 5A_508/2012 du 28 août 2012 consid. 3.2), dont les griefs recevables sont la violation du droit et la constatation manifestement inexacte des faits (art. 320 CPC). Le juge du séquestre statue en procédure sommaire (art. 251 let. a CPC), sans entendre préalablement le débiteur (ATF 133 III 589 consid. 1), en se basant sur la simple vraisemblance des faits (ATF 138 III 232 consid. 4.1.1; arrêt 5A_870/2010 du 15 mars 2011 consid. 3.2) et après un examen sommaire du droit (ATF 138 III 232 consid. 4.1.1).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w:t>
      </w:r>
    </w:p>
    <w:p>
      <w:r>
        <w:t>- 5/8 -</w:t>
      </w:r>
    </w:p>
    <w:p>
      <w:r>
        <w:t>A/2632/2018-CS</w:t>
      </w:r>
    </w:p>
    <w:p>
      <w:r>
        <w:t>Aux termes de l'art. 327 al. 3 CPC, si l'instance de recours admet le recours, elle annule la décision ou l'ordonnance d'instruction et renvoie la cause à l'instance précédente (let. a) ou rend une nouvelle décision, si la cause est en état d'être jugée (let. b). Les deux modes de décision visés par l'art. 327 al. 3 lit. a (effet cassatoire) et lit. b (effet réformatoire) CPC sont en principe équivalents. Tout dépend dès lors de savoir si la cause est en état d'être jugée. A cet égard, l'instance supérieure dispose d'un pouvoir d'appréciation, car elle peut en juger diversement selon le cas particulier. La cause est en état d'être jugée lorsque l'instance de recours dispose de toutes les bases nécessaires pour rendre un jugement au fond et qu'aucune autre mesure probatoire n'est nécessaire (FREIBURGHAUS/AFHELDT, in Kommentar zur ZPO, Sutter-Somm/Hasenböhler/Leuenberger [éd.], 2ème éd., 2013, n. 10-11 ad art. 327 CPC).</w:t>
      </w:r>
    </w:p>
    <w:p>
      <w:r>
        <w:rPr>
          <w:b/>
        </w:rPr>
        <w:t>E. 3.1.3</w:t>
      </w:r>
    </w:p>
    <w:p>
      <w:r>
        <w:t>A Genève, comme relevé ci-dessus, le Tribunal de première instance est l'autorité compétente pour ordonner – ou refuser d'ordonner – un séquestre, tandis que la Chambre civile de la Cour de justice est l'autorité compétente pour connaître des recours formés contre les décisions prononcées par le Tribunal. Dans son arrêt ACJC/989/2018, la Cour a réformé la décision de refus rendue par le Tribunal et statué elle-même sur la requête de séquestre, après avoir constaté que la cause était en état d'être jugée. Dans ce contexte, un renvoi au premier juge n'aurait été qu'une vaine formalité, d'autant moins justifiée qu'un séquestre, vu sa nature urgente, doit être traité à bref délai. Ce procédé n'est en rien critiquable et l'Office n'avait pas à substituer sa propre appréciation à celle du juge du séquestre pour refuser d'exécuter cette mesure. Au demeurant, à suivre son raisonnement, la Cour saisie d'un recours contre une décision du Tribunal devrait systématiquement renvoyer la cause à l'instance inférieure et, partant, ne jamais appliquer l'art. 327 al. 3 lit. b CPC, ce qui est manifestement contraire à la volonté du législateur. Pour le surplus, on ne voit pas en quoi le débiteur serait privé de son droit à faire opposition au séquestre, conformément à l'art. 278 LP, du fait que cette mesure a été prononcée par la Cour et non par le Tribunal. Le but de l'opposition est de permettre au débiteur de faire valoir ses moyens de défense devant le juge du séquestre, faculté dont il est privé au stade de la procédure d'autorisation du séquestre. En l'occurrence, rien n'empêche le débiteur séquestré d'agir par cette voie s'il s'y estime fondé, les voies de recours – dont celle de l'art. 278 LP – étant expressément mentionnées en p. 8 à 10 de l'arrêt ACJC/913/2018. Ainsi, c'est à tort que l'Office a considéré que l'ordonnance de séquestre serait atteinte de nullité au motif qu'elle a été prononcée non par le Tribunal mais, sur recours, par la Cour.</w:t>
      </w:r>
    </w:p>
    <w:p>
      <w:r>
        <w:t>- 6/8 -</w:t>
      </w:r>
    </w:p>
    <w:p>
      <w:r>
        <w:t>A/2632/2018-CS</w:t>
      </w:r>
    </w:p>
    <w:p>
      <w:r>
        <w:rPr>
          <w:b/>
        </w:rPr>
        <w:t>E. 3.2</w:t>
      </w:r>
    </w:p>
    <w:p>
      <w:r>
        <w:t>L'Office fait encore valoir que l'ordonnance de séquestre rendue par la Cour est lacunaire, faute de mentionner le domicile du débiteur, et donc inopérante, raison pour laquelle il ne serait pas en mesure d'y donner suite.</w:t>
      </w:r>
    </w:p>
    <w:p>
      <w:r>
        <w:rPr>
          <w:b/>
        </w:rPr>
        <w:t>E. 3.2.1</w:t>
      </w:r>
    </w:p>
    <w:p>
      <w:r>
        <w:t>Comme déjà relevé (cf. consid. 2), les compétences de l'Office sont limitées aux mesures proprement dites d'exécution du séquestre, ainsi qu'au contrôle de la régularité formelle de l'ordonnance de séquestre, dont le contenu est défini à l'art. 274 LP. Selon l'alinéa 2 de cette disposition, l'ordonnance énonce (ch. 1) le nom et le domicile du créancier, de son représentant, le cas échéant, et du débiteur; (ch. 2) la créance pour laquelle le séquestre est opéré; (ch. 3) le cas de séquestre; (ch. 4) les objets à séquestrer; et (ch. 5) la mention que le créancier répond du dommage et l'indication des sûretés à fournir. Ces indications servent, d'une part, à préciser le mandat d'exécution de l'Office et, d'autre part, à informer le débiteur, à qui l'ordonnance sera ensuite communiquée (cf. art. 276 al. 2 LP; STOFFEL/CHABLOZ, in CR LP, 2005, n. 4 ad art. 274 LP). Dans le cadre de l'activité de haute surveillance en matière de poursuite pour dettes et de faillite qu'il exerce sur délégation du Conseil fédéral (art. 15 al. 1 LP), l'Office fédéral de la justice a émis le formulaire n° 45, intitulé "ordonnance de séquestre". Ce formulaire énonce le contenu légal (art. 274 al. 2 LP) et, au titre des "observations", informe les parties sur les effets du séquestre, les possibilités de recours et les exigences de la procédure de validation du séquestre (STOFFEL/CHABLOZ, in CR LP, 2005, n. 3 ad art. 274 LP). L'art. 1 Oform prévoit qu'il y a lieu de se servir des formulaires prescrits en vue d'une application uniforme de la LP et des ordonnances correspondantes du Tribunal fédéral (al. 1). Les autorités cantonales peuvent toutefois se servir d'autres formulaires (al. 3). Les indications listées à l'art. 274 al. 2 LP, à l'exception du chiffre 5, doivent toujours figurer sur l'ordonnance de séquestre. S'il existe un doute sur l'identité du créancier ou du débiteur, l'exécution du séquestre ne pourra pas intervenir. A titre d'exemple, "X, Y, Allemagne" est une description insuffisante du créancier et de son domicile, de sorte que l'Office est en droit de refuser d'exécuter l'ordonnance de séquestre lacunaire sur ce point (REISER, in BAK SchKG II, 2ème éd. 2010, Staehelin/Bauer/Staehelin [éd.], n. 26 ad art. 275 LP). Cela étant, l'absence d'une des mentions prescrites à l'art. 274 al. 2 LP n'entraîne pas nécessairement la nullité de l'ordonnance de séquestre. Si la mention faisant défaut est l'une de celles visées à l'art. 274 al. 2 ch. 1, 2 ou 4 LP, l'Office se limitera à suspendre l'exécution du séquestre et fixera un délai au créancier pour qu'il puisse réparer cette omission en faisant compléter l'ordonnance par le juge du séquestre (KREN KOSTKIEWICZ, in Kommentar SchKG, 4ème éd. 2017, Kren Kostkiewicz/Vock [éd.], n. 7 et 8 ad art. 274 LP; REISER, op. cit., n. 26 et 27 ad art. 275 LP; JAEGER/WALDER/ KULL/KOTTMANN, SchKG, 4ème éd. 1997/1999, n. 5 ad art. 274 LP; cf. également PETER, Edition annotée de la LP, 2010, p. 1189 et l'ATF 47 III 121 cité).</w:t>
      </w:r>
    </w:p>
    <w:p>
      <w:r>
        <w:t>- 7/8 -</w:t>
      </w:r>
    </w:p>
    <w:p>
      <w:r>
        <w:t>A/2632/2018-CS</w:t>
      </w:r>
    </w:p>
    <w:p>
      <w:r>
        <w:rPr>
          <w:b/>
        </w:rPr>
        <w:t>E. 3.2.2</w:t>
      </w:r>
    </w:p>
    <w:p>
      <w:r>
        <w:t>En l'espèce, les parties conviennent que toutes les indications prévues par l'art. 274 al. 2 LP et le formulaire n° 45 figurent dans l'arrêt ACJC/913/2018, à l'exception du domicile du débiteur. Or, comme relevé supra, l'ordonnance de séquestre n'est pas frappée de nullité du seul fait de cette omission. Tout au plus l'Office était justifié à en suspendre l'exécution et à fixer au créancier un délai pour obtenir du juge ayant autorisé le séquestre (i.e. la Chambre civile de la Cour de justice) qu'il complète son ordonnance en conséquence. En ayant refusé d'exécuter le séquestre sans permettre au créancier de réparer cette informalité, l'Office a contrevenu aux art. 274 et 275 LP.</w:t>
      </w:r>
    </w:p>
    <w:p>
      <w:r>
        <w:rPr>
          <w:b/>
        </w:rPr>
        <w:t>E. 3.3</w:t>
      </w:r>
    </w:p>
    <w:p>
      <w:r>
        <w:t>Il suit de là que la plainte est fondée sur le principe, de sorte que la décision entreprise sera annulée. Il sera par ailleurs ordonné à l'Office d'impartir un délai au plaignant pour compléter l'ordonnance de séquestre litigieuse et, en cas de réparation du vice formel dans le délai ainsi fixé, d'exécuter ledit séquestre.</w:t>
      </w:r>
    </w:p>
    <w:p>
      <w:r>
        <w:rPr>
          <w:b/>
        </w:rPr>
        <w:t>E. 4</w:t>
      </w:r>
    </w:p>
    <w:p>
      <w:r>
        <w:t>La procédure de plainte est gratuite (art. 20a al. 2 ch. 5 LP et art. 61 al. 2 let. a OELP) et il n'est pas alloué de dépens (art. 62 al. 2 OELP).</w:t>
      </w:r>
    </w:p>
    <w:p>
      <w:r>
        <w:t>* * * * *</w:t>
      </w:r>
    </w:p>
    <w:p>
      <w:r>
        <w:t>- 8/8 -</w:t>
      </w:r>
    </w:p>
    <w:p>
      <w:r>
        <w:t>A/2632/2018-CS PAR CES MOTIFS, La Chambre de surveillance : A la forme : Déclare recevable la plainte formée le 3 août 2018 par l'Etat de Genève, soit pour lui le Service cantonal d'avance et de recouvrement des pensions alimentaires (SCARPA), contre la décision du 23 juillet 2018, par laquelle l'Office des poursuites a refusé d'exécuter le séquestre ordonné par la Cour de justice dans l'arrêt ACJC/913/2018 du</w:t>
      </w:r>
    </w:p>
    <w:p>
      <w:r>
        <w:rPr>
          <w:b/>
        </w:rPr>
        <w:t>E. 9</w:t>
      </w:r>
    </w:p>
    <w:p>
      <w:r>
        <w:t>juillet 2018. Au fond : Annule cette décision. Ordonne à l'Office de procéder conformément aux considérants 3.2.2 et 3.3 de la présente décision. Déboute les parties de toutes autres conclusions.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